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4341">
      <w:pPr>
        <w:spacing w:line="360" w:lineRule="auto"/>
        <w:jc w:val="center"/>
        <w:rPr>
          <w:rFonts w:ascii="黑体" w:hAnsi="黑体" w:eastAsia="黑体"/>
          <w:color w:val="auto"/>
          <w:sz w:val="30"/>
          <w:szCs w:val="30"/>
        </w:rPr>
      </w:pPr>
    </w:p>
    <w:p w14:paraId="7A0A7654">
      <w:pPr>
        <w:jc w:val="center"/>
        <w:rPr>
          <w:b/>
          <w:bCs/>
          <w:color w:val="auto"/>
          <w:sz w:val="44"/>
          <w:szCs w:val="44"/>
        </w:rPr>
      </w:pPr>
      <w:r>
        <w:rPr>
          <w:rFonts w:hint="eastAsia"/>
          <w:b/>
          <w:bCs/>
          <w:color w:val="auto"/>
          <w:sz w:val="44"/>
          <w:szCs w:val="44"/>
          <w:lang w:eastAsia="zh-CN"/>
        </w:rPr>
        <w:t>四川川信致远资产经营管理有限公司自动售货机销售食品饮料采购项目</w:t>
      </w:r>
    </w:p>
    <w:p w14:paraId="73CD1A63">
      <w:pPr>
        <w:spacing w:line="360" w:lineRule="auto"/>
        <w:jc w:val="center"/>
        <w:rPr>
          <w:rFonts w:ascii="黑体" w:hAnsi="黑体" w:eastAsia="黑体" w:cs="黑体"/>
          <w:color w:val="auto"/>
          <w:sz w:val="52"/>
          <w:szCs w:val="52"/>
        </w:rPr>
      </w:pPr>
    </w:p>
    <w:p w14:paraId="204E55A5">
      <w:pPr>
        <w:jc w:val="center"/>
        <w:rPr>
          <w:rFonts w:hint="eastAsia" w:ascii="黑体" w:hAnsi="黑体" w:eastAsia="黑体" w:cs="黑体"/>
          <w:color w:val="auto"/>
          <w:sz w:val="56"/>
          <w:szCs w:val="56"/>
        </w:rPr>
      </w:pPr>
    </w:p>
    <w:p w14:paraId="1F8D469C">
      <w:pPr>
        <w:jc w:val="center"/>
        <w:rPr>
          <w:rFonts w:ascii="黑体" w:hAnsi="黑体" w:eastAsia="黑体"/>
          <w:color w:val="auto"/>
          <w:sz w:val="56"/>
          <w:szCs w:val="56"/>
        </w:rPr>
      </w:pPr>
      <w:r>
        <w:rPr>
          <w:rFonts w:hint="eastAsia" w:ascii="黑体" w:hAnsi="黑体" w:eastAsia="黑体" w:cs="黑体"/>
          <w:color w:val="auto"/>
          <w:sz w:val="56"/>
          <w:szCs w:val="56"/>
        </w:rPr>
        <w:t>竞</w:t>
      </w:r>
    </w:p>
    <w:p w14:paraId="6CAF7E30">
      <w:pPr>
        <w:jc w:val="center"/>
        <w:rPr>
          <w:rFonts w:ascii="黑体" w:hAnsi="黑体" w:eastAsia="黑体"/>
          <w:color w:val="auto"/>
          <w:sz w:val="56"/>
          <w:szCs w:val="56"/>
        </w:rPr>
      </w:pPr>
      <w:r>
        <w:rPr>
          <w:rFonts w:hint="eastAsia" w:ascii="黑体" w:hAnsi="黑体" w:eastAsia="黑体" w:cs="黑体"/>
          <w:color w:val="auto"/>
          <w:sz w:val="56"/>
          <w:szCs w:val="56"/>
        </w:rPr>
        <w:t>争</w:t>
      </w:r>
    </w:p>
    <w:p w14:paraId="62E821F2">
      <w:pPr>
        <w:jc w:val="center"/>
        <w:rPr>
          <w:rFonts w:ascii="黑体" w:hAnsi="黑体" w:eastAsia="黑体"/>
          <w:color w:val="auto"/>
          <w:sz w:val="56"/>
          <w:szCs w:val="56"/>
        </w:rPr>
      </w:pPr>
      <w:r>
        <w:rPr>
          <w:rFonts w:hint="eastAsia" w:ascii="黑体" w:hAnsi="黑体" w:eastAsia="黑体" w:cs="黑体"/>
          <w:color w:val="auto"/>
          <w:sz w:val="56"/>
          <w:szCs w:val="56"/>
        </w:rPr>
        <w:t>性</w:t>
      </w:r>
    </w:p>
    <w:p w14:paraId="02AE2CA2">
      <w:pPr>
        <w:jc w:val="center"/>
        <w:rPr>
          <w:rFonts w:ascii="黑体" w:hAnsi="黑体" w:eastAsia="黑体"/>
          <w:color w:val="auto"/>
          <w:sz w:val="56"/>
          <w:szCs w:val="56"/>
        </w:rPr>
      </w:pPr>
      <w:r>
        <w:rPr>
          <w:rFonts w:hint="eastAsia" w:ascii="黑体" w:hAnsi="黑体" w:eastAsia="黑体" w:cs="黑体"/>
          <w:color w:val="auto"/>
          <w:sz w:val="56"/>
          <w:szCs w:val="56"/>
        </w:rPr>
        <w:t>谈</w:t>
      </w:r>
    </w:p>
    <w:p w14:paraId="4AD12B47">
      <w:pPr>
        <w:jc w:val="center"/>
        <w:rPr>
          <w:rFonts w:ascii="黑体" w:hAnsi="黑体" w:eastAsia="黑体"/>
          <w:color w:val="auto"/>
          <w:sz w:val="56"/>
          <w:szCs w:val="56"/>
        </w:rPr>
      </w:pPr>
      <w:r>
        <w:rPr>
          <w:rFonts w:hint="eastAsia" w:ascii="黑体" w:hAnsi="黑体" w:eastAsia="黑体" w:cs="黑体"/>
          <w:color w:val="auto"/>
          <w:sz w:val="56"/>
          <w:szCs w:val="56"/>
        </w:rPr>
        <w:t>判</w:t>
      </w:r>
    </w:p>
    <w:p w14:paraId="55384CE7">
      <w:pPr>
        <w:jc w:val="center"/>
        <w:rPr>
          <w:rFonts w:ascii="黑体" w:hAnsi="黑体" w:eastAsia="黑体"/>
          <w:color w:val="auto"/>
          <w:sz w:val="56"/>
          <w:szCs w:val="56"/>
        </w:rPr>
      </w:pPr>
      <w:r>
        <w:rPr>
          <w:rFonts w:hint="eastAsia" w:ascii="黑体" w:hAnsi="黑体" w:eastAsia="黑体" w:cs="黑体"/>
          <w:color w:val="auto"/>
          <w:sz w:val="56"/>
          <w:szCs w:val="56"/>
        </w:rPr>
        <w:t>文</w:t>
      </w:r>
    </w:p>
    <w:p w14:paraId="01A275D9">
      <w:pPr>
        <w:jc w:val="center"/>
        <w:rPr>
          <w:rFonts w:ascii="黑体" w:hAnsi="黑体" w:eastAsia="黑体"/>
          <w:color w:val="auto"/>
          <w:sz w:val="56"/>
          <w:szCs w:val="56"/>
        </w:rPr>
      </w:pPr>
      <w:r>
        <w:rPr>
          <w:rFonts w:hint="eastAsia" w:ascii="黑体" w:hAnsi="黑体" w:eastAsia="黑体" w:cs="黑体"/>
          <w:color w:val="auto"/>
          <w:sz w:val="56"/>
          <w:szCs w:val="56"/>
        </w:rPr>
        <w:t>件</w:t>
      </w:r>
    </w:p>
    <w:p w14:paraId="52324E92">
      <w:pPr>
        <w:spacing w:line="360" w:lineRule="auto"/>
        <w:jc w:val="center"/>
        <w:rPr>
          <w:rFonts w:ascii="黑体" w:hAnsi="黑体" w:eastAsia="黑体"/>
          <w:color w:val="auto"/>
          <w:sz w:val="32"/>
          <w:szCs w:val="32"/>
        </w:rPr>
      </w:pPr>
    </w:p>
    <w:p w14:paraId="3BD3DA8C">
      <w:pPr>
        <w:pStyle w:val="17"/>
        <w:rPr>
          <w:rFonts w:ascii="黑体" w:hAnsi="黑体" w:eastAsia="黑体"/>
          <w:color w:val="auto"/>
          <w:sz w:val="32"/>
          <w:szCs w:val="32"/>
        </w:rPr>
      </w:pPr>
    </w:p>
    <w:p w14:paraId="2DE7AFE8">
      <w:pPr>
        <w:rPr>
          <w:color w:val="auto"/>
        </w:rPr>
      </w:pPr>
    </w:p>
    <w:p w14:paraId="1BB4702E">
      <w:pPr>
        <w:pStyle w:val="40"/>
        <w:ind w:firstLine="210"/>
        <w:rPr>
          <w:color w:val="auto"/>
        </w:rPr>
      </w:pPr>
    </w:p>
    <w:p w14:paraId="3190DF96">
      <w:pPr>
        <w:pStyle w:val="41"/>
        <w:rPr>
          <w:color w:val="auto"/>
        </w:rPr>
      </w:pPr>
    </w:p>
    <w:tbl>
      <w:tblPr>
        <w:tblStyle w:val="43"/>
        <w:tblpPr w:leftFromText="180" w:rightFromText="180" w:vertAnchor="text" w:horzAnchor="page" w:tblpX="1989" w:tblpY="640"/>
        <w:tblOverlap w:val="never"/>
        <w:tblW w:w="8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5385"/>
        <w:gridCol w:w="915"/>
      </w:tblGrid>
      <w:tr w14:paraId="69D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07" w:type="dxa"/>
          </w:tcPr>
          <w:p w14:paraId="4317D972">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rPr>
              <w:t>采   购   人：</w:t>
            </w:r>
          </w:p>
        </w:tc>
        <w:tc>
          <w:tcPr>
            <w:tcW w:w="5385" w:type="dxa"/>
          </w:tcPr>
          <w:p w14:paraId="75C0B1F0">
            <w:pPr>
              <w:spacing w:line="360" w:lineRule="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四川川信致远资产经营管理有限公司</w:t>
            </w:r>
          </w:p>
        </w:tc>
        <w:tc>
          <w:tcPr>
            <w:tcW w:w="915" w:type="dxa"/>
            <w:vMerge w:val="restart"/>
            <w:vAlign w:val="center"/>
          </w:tcPr>
          <w:p w14:paraId="1C31CB56">
            <w:pPr>
              <w:spacing w:line="360" w:lineRule="auto"/>
              <w:jc w:val="center"/>
              <w:rPr>
                <w:rFonts w:ascii="仿宋" w:hAnsi="仿宋" w:eastAsia="仿宋" w:cs="仿宋"/>
                <w:b/>
                <w:color w:val="auto"/>
                <w:kern w:val="0"/>
                <w:sz w:val="30"/>
                <w:szCs w:val="30"/>
              </w:rPr>
            </w:pPr>
            <w:r>
              <w:rPr>
                <w:rFonts w:hint="eastAsia" w:ascii="仿宋" w:hAnsi="仿宋" w:eastAsia="仿宋" w:cs="仿宋"/>
                <w:b/>
                <w:color w:val="auto"/>
                <w:kern w:val="0"/>
                <w:sz w:val="30"/>
                <w:szCs w:val="30"/>
              </w:rPr>
              <w:t>共同</w:t>
            </w:r>
          </w:p>
          <w:p w14:paraId="7F1F0F05">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编制</w:t>
            </w:r>
          </w:p>
        </w:tc>
      </w:tr>
      <w:tr w14:paraId="7D1B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307" w:type="dxa"/>
          </w:tcPr>
          <w:p w14:paraId="249FD0FD">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采购代理机构：</w:t>
            </w:r>
          </w:p>
        </w:tc>
        <w:tc>
          <w:tcPr>
            <w:tcW w:w="5385" w:type="dxa"/>
          </w:tcPr>
          <w:p w14:paraId="306C29A5">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重庆大正建设工程经济技术有限公司</w:t>
            </w:r>
            <w:r>
              <w:rPr>
                <w:rFonts w:hint="eastAsia" w:ascii="仿宋" w:hAnsi="仿宋" w:eastAsia="仿宋" w:cs="仿宋"/>
                <w:b/>
                <w:color w:val="auto"/>
                <w:kern w:val="0"/>
                <w:sz w:val="32"/>
                <w:szCs w:val="32"/>
              </w:rPr>
              <w:t xml:space="preserve"> </w:t>
            </w:r>
          </w:p>
        </w:tc>
        <w:tc>
          <w:tcPr>
            <w:tcW w:w="915" w:type="dxa"/>
            <w:vMerge w:val="continue"/>
          </w:tcPr>
          <w:p w14:paraId="1FD9C24B">
            <w:pPr>
              <w:spacing w:line="360" w:lineRule="auto"/>
              <w:jc w:val="center"/>
              <w:rPr>
                <w:rFonts w:ascii="仿宋" w:hAnsi="仿宋" w:eastAsia="仿宋" w:cs="仿宋"/>
                <w:b/>
                <w:color w:val="auto"/>
                <w:kern w:val="0"/>
                <w:sz w:val="32"/>
                <w:szCs w:val="32"/>
              </w:rPr>
            </w:pPr>
          </w:p>
        </w:tc>
      </w:tr>
    </w:tbl>
    <w:p w14:paraId="592BF8C2">
      <w:pPr>
        <w:spacing w:line="360" w:lineRule="auto"/>
        <w:jc w:val="center"/>
        <w:rPr>
          <w:b/>
          <w:bCs/>
          <w:color w:val="auto"/>
          <w:sz w:val="32"/>
          <w:szCs w:val="32"/>
        </w:rPr>
      </w:pPr>
      <w:r>
        <w:rPr>
          <w:rFonts w:hint="eastAsia"/>
          <w:color w:val="auto"/>
        </w:rPr>
        <w:t xml:space="preserve">   </w:t>
      </w:r>
      <w:r>
        <w:rPr>
          <w:b/>
          <w:bCs/>
          <w:color w:val="auto"/>
          <w:sz w:val="32"/>
          <w:szCs w:val="32"/>
        </w:rPr>
        <w:t>中国·四川（</w:t>
      </w:r>
      <w:r>
        <w:rPr>
          <w:rFonts w:hint="eastAsia"/>
          <w:b/>
          <w:bCs/>
          <w:color w:val="auto"/>
          <w:sz w:val="32"/>
          <w:szCs w:val="32"/>
        </w:rPr>
        <w:t>广元</w:t>
      </w:r>
      <w:r>
        <w:rPr>
          <w:b/>
          <w:bCs/>
          <w:color w:val="auto"/>
          <w:sz w:val="32"/>
          <w:szCs w:val="32"/>
        </w:rPr>
        <w:t>）</w:t>
      </w:r>
    </w:p>
    <w:p w14:paraId="7AB18BF1">
      <w:pPr>
        <w:pStyle w:val="17"/>
        <w:rPr>
          <w:color w:val="auto"/>
        </w:rPr>
      </w:pPr>
    </w:p>
    <w:p w14:paraId="46E34BC1">
      <w:pPr>
        <w:spacing w:line="360" w:lineRule="auto"/>
        <w:jc w:val="center"/>
        <w:rPr>
          <w:rFonts w:ascii="仿宋" w:hAnsi="仿宋" w:eastAsia="仿宋" w:cs="仿宋"/>
          <w:color w:val="auto"/>
          <w:sz w:val="36"/>
          <w:szCs w:val="36"/>
        </w:rPr>
      </w:pPr>
      <w:bookmarkStart w:id="0" w:name="PO_年份小写_1"/>
      <w:r>
        <w:rPr>
          <w:rFonts w:hint="eastAsia" w:ascii="黑体" w:hAnsi="黑体" w:eastAsia="黑体" w:cs="黑体"/>
          <w:color w:val="auto"/>
          <w:sz w:val="32"/>
          <w:szCs w:val="32"/>
          <w:lang w:val="zh-CN"/>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val="zh-CN"/>
        </w:rPr>
        <w:t>年</w:t>
      </w:r>
      <w:bookmarkEnd w:id="0"/>
      <w:bookmarkStart w:id="1" w:name="PO_月份小写_1"/>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val="zh-CN"/>
        </w:rPr>
        <w:t>月</w:t>
      </w:r>
      <w:bookmarkEnd w:id="1"/>
    </w:p>
    <w:p w14:paraId="7C3A49E7">
      <w:pPr>
        <w:pStyle w:val="3"/>
        <w:keepNext w:val="0"/>
        <w:keepLines w:val="0"/>
        <w:spacing w:line="360" w:lineRule="auto"/>
        <w:jc w:val="center"/>
        <w:rPr>
          <w:rFonts w:ascii="仿宋" w:hAnsi="仿宋" w:eastAsia="仿宋" w:cs="仿宋"/>
          <w:color w:val="auto"/>
          <w:sz w:val="36"/>
          <w:szCs w:val="36"/>
        </w:rPr>
        <w:sectPr>
          <w:footerReference r:id="rId5" w:type="first"/>
          <w:headerReference r:id="rId3" w:type="default"/>
          <w:footerReference r:id="rId4" w:type="default"/>
          <w:pgSz w:w="11907" w:h="16840"/>
          <w:pgMar w:top="1440" w:right="1797" w:bottom="1440" w:left="1797" w:header="851" w:footer="992" w:gutter="0"/>
          <w:cols w:space="425" w:num="1"/>
          <w:docGrid w:linePitch="312" w:charSpace="0"/>
        </w:sectPr>
      </w:pPr>
    </w:p>
    <w:p w14:paraId="5DBBE107">
      <w:pPr>
        <w:pStyle w:val="3"/>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sz w:val="36"/>
          <w:szCs w:val="36"/>
        </w:rPr>
        <w:t>目    录</w:t>
      </w:r>
    </w:p>
    <w:p w14:paraId="46AA0F58">
      <w:pPr>
        <w:pStyle w:val="29"/>
        <w:tabs>
          <w:tab w:val="right" w:leader="dot" w:pos="8303"/>
        </w:tabs>
        <w:rPr>
          <w:color w:val="auto"/>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   谈判邀请</w:t>
      </w:r>
      <w:r>
        <w:rPr>
          <w:color w:val="auto"/>
        </w:rPr>
        <w:tab/>
      </w:r>
      <w:r>
        <w:rPr>
          <w:rFonts w:hint="eastAsia"/>
          <w:color w:val="auto"/>
          <w:lang w:val="en-US" w:eastAsia="zh-CN"/>
        </w:rPr>
        <w:t>2</w:t>
      </w:r>
      <w:r>
        <w:rPr>
          <w:rFonts w:hint="eastAsia"/>
          <w:color w:val="auto"/>
        </w:rPr>
        <w:fldChar w:fldCharType="end"/>
      </w:r>
    </w:p>
    <w:p w14:paraId="7EB528E7">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   谈判须知</w:t>
      </w:r>
      <w:r>
        <w:rPr>
          <w:color w:val="auto"/>
        </w:rPr>
        <w:tab/>
      </w:r>
      <w:r>
        <w:rPr>
          <w:rFonts w:hint="eastAsia"/>
          <w:color w:val="auto"/>
          <w:lang w:val="en-US" w:eastAsia="zh-CN"/>
        </w:rPr>
        <w:t>5</w:t>
      </w:r>
      <w:r>
        <w:rPr>
          <w:color w:val="auto"/>
        </w:rPr>
        <w:fldChar w:fldCharType="end"/>
      </w:r>
    </w:p>
    <w:p w14:paraId="1A491C38">
      <w:pPr>
        <w:pStyle w:val="29"/>
        <w:tabs>
          <w:tab w:val="right" w:leader="dot" w:pos="8303"/>
        </w:tabs>
        <w:rPr>
          <w:rFonts w:hint="eastAsia" w:ascii="Calibri" w:hAnsi="Calibri" w:eastAsia="宋体" w:cs="Calibri"/>
          <w:color w:val="auto"/>
          <w:sz w:val="21"/>
          <w:szCs w:val="21"/>
          <w:lang w:eastAsia="zh-CN"/>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   供应商的资格、资质性及其他类似效力要求</w:t>
      </w:r>
      <w:r>
        <w:rPr>
          <w:color w:val="auto"/>
        </w:rPr>
        <w:tab/>
      </w:r>
      <w:r>
        <w:rPr>
          <w:color w:val="auto"/>
        </w:rPr>
        <w:t>2</w:t>
      </w:r>
      <w:r>
        <w:rPr>
          <w:color w:val="auto"/>
        </w:rPr>
        <w:fldChar w:fldCharType="end"/>
      </w:r>
      <w:r>
        <w:rPr>
          <w:rFonts w:hint="eastAsia"/>
          <w:color w:val="auto"/>
          <w:lang w:val="en-US" w:eastAsia="zh-CN"/>
        </w:rPr>
        <w:t>2</w:t>
      </w:r>
    </w:p>
    <w:p w14:paraId="005BF1F7">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   供应商应当提供的资格、资质性及其他类似效力要求的相关证明材料</w:t>
      </w:r>
      <w:r>
        <w:rPr>
          <w:color w:val="auto"/>
        </w:rPr>
        <w:tab/>
      </w:r>
      <w:r>
        <w:rPr>
          <w:rFonts w:hint="eastAsia"/>
          <w:color w:val="auto"/>
        </w:rPr>
        <w:t>2</w:t>
      </w:r>
      <w:r>
        <w:rPr>
          <w:rFonts w:hint="eastAsia"/>
          <w:color w:val="auto"/>
          <w:lang w:val="en-US" w:eastAsia="zh-CN"/>
        </w:rPr>
        <w:t>5</w:t>
      </w:r>
      <w:r>
        <w:rPr>
          <w:rFonts w:hint="eastAsia"/>
          <w:color w:val="auto"/>
        </w:rPr>
        <w:fldChar w:fldCharType="end"/>
      </w:r>
    </w:p>
    <w:p w14:paraId="618FBCAF">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   采购项目技术、服务、政府采购合同内容条款及其他商务要求</w:t>
      </w:r>
      <w:r>
        <w:rPr>
          <w:color w:val="auto"/>
        </w:rPr>
        <w:tab/>
      </w:r>
      <w:r>
        <w:rPr>
          <w:rFonts w:hint="eastAsia"/>
          <w:color w:val="auto"/>
        </w:rPr>
        <w:t>2</w:t>
      </w:r>
      <w:r>
        <w:rPr>
          <w:rFonts w:hint="eastAsia"/>
          <w:color w:val="auto"/>
          <w:lang w:val="en-US" w:eastAsia="zh-CN"/>
        </w:rPr>
        <w:t>7</w:t>
      </w:r>
      <w:r>
        <w:rPr>
          <w:rFonts w:hint="eastAsia"/>
          <w:color w:val="auto"/>
        </w:rPr>
        <w:fldChar w:fldCharType="end"/>
      </w:r>
    </w:p>
    <w:p w14:paraId="63213AA0">
      <w:pPr>
        <w:pStyle w:val="29"/>
        <w:tabs>
          <w:tab w:val="right" w:leader="dot" w:pos="8303"/>
        </w:tabs>
        <w:rPr>
          <w:rFonts w:hint="eastAsia" w:ascii="Calibri" w:hAnsi="Calibri" w:eastAsia="宋体" w:cs="Calibri"/>
          <w:color w:val="auto"/>
          <w:sz w:val="21"/>
          <w:szCs w:val="21"/>
          <w:lang w:val="en-US" w:eastAsia="zh-CN"/>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   谈判内容、谈判过程中可实质性变动的内容</w:t>
      </w:r>
      <w:r>
        <w:rPr>
          <w:color w:val="auto"/>
        </w:rPr>
        <w:tab/>
      </w:r>
      <w:r>
        <w:rPr>
          <w:rFonts w:hint="eastAsia"/>
          <w:color w:val="auto"/>
          <w:lang w:val="en-US" w:eastAsia="zh-CN"/>
        </w:rPr>
        <w:t>3</w:t>
      </w:r>
      <w:r>
        <w:rPr>
          <w:rFonts w:hint="eastAsia"/>
          <w:color w:val="auto"/>
        </w:rPr>
        <w:fldChar w:fldCharType="end"/>
      </w:r>
      <w:r>
        <w:rPr>
          <w:rFonts w:hint="eastAsia"/>
          <w:color w:val="auto"/>
          <w:lang w:val="en-US" w:eastAsia="zh-CN"/>
        </w:rPr>
        <w:t>9</w:t>
      </w:r>
    </w:p>
    <w:p w14:paraId="292CD2B5">
      <w:pPr>
        <w:pStyle w:val="29"/>
        <w:tabs>
          <w:tab w:val="right" w:leader="dot" w:pos="8303"/>
        </w:tabs>
        <w:rPr>
          <w:rFonts w:hint="eastAsia" w:ascii="Calibri" w:hAnsi="Calibri" w:eastAsia="宋体" w:cs="Calibri"/>
          <w:color w:val="auto"/>
          <w:sz w:val="21"/>
          <w:szCs w:val="21"/>
          <w:lang w:val="en-US" w:eastAsia="zh-CN"/>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   响应文件格式</w:t>
      </w:r>
      <w:r>
        <w:rPr>
          <w:color w:val="auto"/>
        </w:rPr>
        <w:tab/>
      </w:r>
      <w:r>
        <w:rPr>
          <w:rFonts w:hint="eastAsia"/>
          <w:color w:val="auto"/>
          <w:lang w:val="en-US" w:eastAsia="zh-CN"/>
        </w:rPr>
        <w:t>4</w:t>
      </w:r>
      <w:r>
        <w:rPr>
          <w:rFonts w:hint="eastAsia"/>
          <w:color w:val="auto"/>
        </w:rPr>
        <w:fldChar w:fldCharType="end"/>
      </w:r>
      <w:r>
        <w:rPr>
          <w:rFonts w:hint="eastAsia"/>
          <w:color w:val="auto"/>
          <w:lang w:val="en-US" w:eastAsia="zh-CN"/>
        </w:rPr>
        <w:t>0</w:t>
      </w:r>
    </w:p>
    <w:p w14:paraId="43CBC736">
      <w:pPr>
        <w:pStyle w:val="29"/>
        <w:tabs>
          <w:tab w:val="right" w:leader="dot" w:pos="8303"/>
        </w:tabs>
        <w:rPr>
          <w:rFonts w:hint="default" w:ascii="Calibri" w:hAnsi="Calibri" w:eastAsia="宋体" w:cs="Calibri"/>
          <w:color w:val="auto"/>
          <w:sz w:val="21"/>
          <w:szCs w:val="21"/>
          <w:lang w:val="en-US" w:eastAsia="zh-CN"/>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   评审方法</w:t>
      </w:r>
      <w:r>
        <w:rPr>
          <w:color w:val="auto"/>
        </w:rPr>
        <w:tab/>
      </w:r>
      <w:r>
        <w:rPr>
          <w:rFonts w:hint="eastAsia"/>
          <w:color w:val="auto"/>
        </w:rPr>
        <w:fldChar w:fldCharType="end"/>
      </w:r>
      <w:r>
        <w:rPr>
          <w:rFonts w:hint="eastAsia"/>
          <w:color w:val="auto"/>
          <w:lang w:val="en-US" w:eastAsia="zh-CN"/>
        </w:rPr>
        <w:t>55</w:t>
      </w:r>
    </w:p>
    <w:p w14:paraId="531E41E8">
      <w:pPr>
        <w:pStyle w:val="29"/>
        <w:tabs>
          <w:tab w:val="right" w:leader="dot" w:pos="8303"/>
        </w:tabs>
        <w:rPr>
          <w:rFonts w:hint="default" w:ascii="Calibri" w:hAnsi="Calibri" w:eastAsia="宋体" w:cs="Calibri"/>
          <w:color w:val="auto"/>
          <w:sz w:val="21"/>
          <w:szCs w:val="21"/>
          <w:lang w:val="en-US" w:eastAsia="zh-CN"/>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   政府采购合同（草案）</w:t>
      </w:r>
      <w:r>
        <w:rPr>
          <w:color w:val="auto"/>
        </w:rPr>
        <w:tab/>
      </w:r>
      <w:r>
        <w:rPr>
          <w:rFonts w:hint="eastAsia"/>
          <w:color w:val="auto"/>
        </w:rPr>
        <w:fldChar w:fldCharType="end"/>
      </w:r>
      <w:r>
        <w:rPr>
          <w:rFonts w:hint="eastAsia"/>
          <w:color w:val="auto"/>
          <w:lang w:val="en-US" w:eastAsia="zh-CN"/>
        </w:rPr>
        <w:t>62</w:t>
      </w:r>
    </w:p>
    <w:p w14:paraId="3B7BB315">
      <w:pPr>
        <w:pStyle w:val="29"/>
        <w:tabs>
          <w:tab w:val="right" w:leader="dot" w:pos="8303"/>
        </w:tabs>
        <w:rPr>
          <w:rFonts w:ascii="Calibri" w:hAnsi="Calibri" w:cs="Calibri"/>
          <w:color w:val="auto"/>
          <w:sz w:val="21"/>
          <w:szCs w:val="21"/>
        </w:rPr>
      </w:pPr>
    </w:p>
    <w:p w14:paraId="152A16FD">
      <w:pPr>
        <w:pStyle w:val="29"/>
        <w:tabs>
          <w:tab w:val="right" w:leader="dot" w:pos="9345"/>
        </w:tabs>
        <w:ind w:right="-105" w:rightChars="-50"/>
        <w:jc w:val="left"/>
        <w:rPr>
          <w:rFonts w:ascii="仿宋" w:hAnsi="仿宋" w:eastAsia="仿宋"/>
          <w:color w:val="auto"/>
        </w:rPr>
      </w:pPr>
      <w:r>
        <w:rPr>
          <w:rStyle w:val="48"/>
          <w:caps/>
          <w:color w:val="auto"/>
        </w:rPr>
        <w:fldChar w:fldCharType="end"/>
      </w:r>
    </w:p>
    <w:p w14:paraId="522D477A">
      <w:pPr>
        <w:pStyle w:val="38"/>
        <w:rPr>
          <w:rFonts w:ascii="仿宋" w:hAnsi="仿宋" w:eastAsia="仿宋" w:cs="仿宋"/>
          <w:color w:val="auto"/>
        </w:rPr>
      </w:pPr>
      <w:bookmarkStart w:id="2" w:name="_Toc41037902"/>
      <w:bookmarkStart w:id="3" w:name="_Toc509579140"/>
    </w:p>
    <w:p w14:paraId="1910BEE8">
      <w:pPr>
        <w:pStyle w:val="38"/>
        <w:rPr>
          <w:rFonts w:ascii="仿宋" w:hAnsi="仿宋" w:eastAsia="仿宋" w:cs="仿宋"/>
          <w:color w:val="auto"/>
        </w:rPr>
      </w:pPr>
    </w:p>
    <w:p w14:paraId="19F5B344">
      <w:pPr>
        <w:pStyle w:val="38"/>
        <w:rPr>
          <w:rFonts w:ascii="仿宋" w:hAnsi="仿宋" w:eastAsia="仿宋" w:cs="仿宋"/>
          <w:color w:val="auto"/>
        </w:rPr>
      </w:pPr>
    </w:p>
    <w:p w14:paraId="69ABD56D">
      <w:pPr>
        <w:pStyle w:val="38"/>
        <w:rPr>
          <w:rFonts w:ascii="仿宋" w:hAnsi="仿宋" w:eastAsia="仿宋" w:cs="仿宋"/>
          <w:color w:val="auto"/>
        </w:rPr>
      </w:pPr>
    </w:p>
    <w:p w14:paraId="1E9CAC57">
      <w:pPr>
        <w:pStyle w:val="38"/>
        <w:rPr>
          <w:rFonts w:ascii="黑体" w:hAnsi="黑体" w:eastAsia="黑体" w:cs="黑体"/>
          <w:b w:val="0"/>
          <w:bCs w:val="0"/>
          <w:color w:val="auto"/>
        </w:rPr>
      </w:pPr>
      <w:r>
        <w:rPr>
          <w:rFonts w:hint="eastAsia" w:ascii="仿宋" w:hAnsi="仿宋" w:eastAsia="仿宋" w:cs="仿宋"/>
          <w:color w:val="auto"/>
        </w:rPr>
        <w:br w:type="page"/>
      </w:r>
      <w:r>
        <w:rPr>
          <w:rFonts w:hint="eastAsia" w:ascii="黑体" w:hAnsi="黑体" w:eastAsia="黑体" w:cs="黑体"/>
          <w:b w:val="0"/>
          <w:bCs w:val="0"/>
          <w:color w:val="auto"/>
        </w:rPr>
        <w:t>第一章  谈判邀请</w:t>
      </w:r>
      <w:bookmarkEnd w:id="2"/>
      <w:bookmarkEnd w:id="3"/>
    </w:p>
    <w:p w14:paraId="36BABE76">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u w:val="single"/>
          <w:lang w:eastAsia="zh-CN"/>
        </w:rPr>
        <w:t>重庆大正建设工程经济技术有限公司</w:t>
      </w:r>
      <w:r>
        <w:rPr>
          <w:rFonts w:hint="eastAsia" w:ascii="仿宋" w:hAnsi="仿宋" w:eastAsia="仿宋" w:cs="仿宋"/>
          <w:color w:val="auto"/>
          <w:sz w:val="28"/>
          <w:szCs w:val="28"/>
        </w:rPr>
        <w:t>（采购代理机构）受</w:t>
      </w:r>
      <w:r>
        <w:rPr>
          <w:rFonts w:hint="eastAsia" w:ascii="仿宋" w:hAnsi="仿宋" w:eastAsia="仿宋" w:cs="仿宋"/>
          <w:color w:val="auto"/>
          <w:sz w:val="28"/>
          <w:szCs w:val="28"/>
          <w:u w:val="single"/>
          <w:lang w:val="en-US" w:eastAsia="zh-CN"/>
        </w:rPr>
        <w:t>四川川信致远资产经营管理有限公司</w:t>
      </w:r>
      <w:r>
        <w:rPr>
          <w:rFonts w:hint="eastAsia" w:ascii="仿宋" w:hAnsi="仿宋" w:eastAsia="仿宋" w:cs="仿宋"/>
          <w:color w:val="auto"/>
          <w:sz w:val="28"/>
          <w:szCs w:val="28"/>
        </w:rPr>
        <w:t>委托，拟对</w:t>
      </w:r>
      <w:bookmarkStart w:id="4" w:name="PO_默认文件内容_1"/>
      <w:r>
        <w:rPr>
          <w:rFonts w:hint="eastAsia" w:ascii="仿宋" w:hAnsi="仿宋" w:eastAsia="仿宋" w:cs="仿宋"/>
          <w:color w:val="auto"/>
          <w:sz w:val="28"/>
          <w:szCs w:val="28"/>
          <w:u w:val="single"/>
          <w:lang w:eastAsia="zh-CN"/>
        </w:rPr>
        <w:t>四川川信致远资产经营管理有限公司自动售货机销售食品饮料采购项目</w:t>
      </w:r>
      <w:r>
        <w:rPr>
          <w:rFonts w:hint="eastAsia" w:ascii="仿宋" w:hAnsi="仿宋" w:eastAsia="仿宋" w:cs="仿宋"/>
          <w:color w:val="auto"/>
          <w:sz w:val="28"/>
          <w:szCs w:val="28"/>
        </w:rPr>
        <w:t>采用竞争性谈判方式进行采购，特邀请符合本次采购要求的供应商参加本项目的竞争性谈判。</w:t>
      </w:r>
      <w:bookmarkEnd w:id="4"/>
    </w:p>
    <w:p w14:paraId="323AB202">
      <w:pPr>
        <w:spacing w:line="360" w:lineRule="auto"/>
        <w:rPr>
          <w:rFonts w:ascii="仿宋" w:hAnsi="仿宋" w:eastAsia="仿宋"/>
          <w:b/>
          <w:bCs/>
          <w:color w:val="auto"/>
          <w:sz w:val="28"/>
          <w:szCs w:val="28"/>
        </w:rPr>
      </w:pPr>
      <w:r>
        <w:rPr>
          <w:rFonts w:hint="eastAsia" w:ascii="仿宋" w:hAnsi="仿宋" w:eastAsia="仿宋" w:cs="仿宋"/>
          <w:b/>
          <w:bCs/>
          <w:color w:val="auto"/>
          <w:sz w:val="28"/>
          <w:szCs w:val="28"/>
        </w:rPr>
        <w:t>一、采购项目基本情况</w:t>
      </w:r>
    </w:p>
    <w:p w14:paraId="081C29A3">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1、项目编号：CQDZGY-2025-002</w:t>
      </w:r>
    </w:p>
    <w:p w14:paraId="4281BC9F">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四川川信致远资产经营管理有限公司自动售货机销售食品饮料采购项目</w:t>
      </w:r>
      <w:r>
        <w:rPr>
          <w:rFonts w:hint="eastAsia" w:ascii="仿宋" w:hAnsi="仿宋" w:eastAsia="仿宋" w:cs="仿宋"/>
          <w:color w:val="auto"/>
          <w:sz w:val="28"/>
          <w:szCs w:val="28"/>
          <w:lang w:val="zh-CN"/>
        </w:rPr>
        <w:t>。</w:t>
      </w:r>
    </w:p>
    <w:p w14:paraId="15CDF499">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四川川信致远资产经营管理有限公司</w:t>
      </w:r>
    </w:p>
    <w:p w14:paraId="1B7D805B">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w:t>
      </w:r>
    </w:p>
    <w:p w14:paraId="6AA0FB57">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二、资金</w:t>
      </w:r>
      <w:r>
        <w:rPr>
          <w:rFonts w:hint="eastAsia" w:ascii="仿宋" w:hAnsi="仿宋" w:eastAsia="仿宋" w:cs="仿宋"/>
          <w:b/>
          <w:bCs/>
          <w:color w:val="auto"/>
          <w:sz w:val="28"/>
          <w:szCs w:val="28"/>
          <w:lang w:val="en-US" w:eastAsia="zh-CN"/>
        </w:rPr>
        <w:t>来源</w:t>
      </w:r>
    </w:p>
    <w:p w14:paraId="0F0363B7">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资金来源：自有资金。</w:t>
      </w:r>
    </w:p>
    <w:p w14:paraId="0DDED96C">
      <w:pPr>
        <w:spacing w:after="120" w:line="360" w:lineRule="auto"/>
        <w:rPr>
          <w:rFonts w:hint="eastAsia" w:ascii="仿宋" w:hAnsi="仿宋" w:eastAsia="仿宋" w:cs="仿宋"/>
          <w:b/>
          <w:bCs/>
          <w:color w:val="auto"/>
          <w:spacing w:val="-4"/>
          <w:sz w:val="28"/>
          <w:szCs w:val="28"/>
          <w:lang w:val="en-US" w:eastAsia="zh-CN"/>
        </w:rPr>
      </w:pPr>
      <w:r>
        <w:rPr>
          <w:rFonts w:hint="eastAsia" w:ascii="仿宋" w:hAnsi="仿宋" w:eastAsia="仿宋" w:cs="仿宋"/>
          <w:b/>
          <w:bCs/>
          <w:color w:val="auto"/>
          <w:spacing w:val="-4"/>
          <w:sz w:val="28"/>
          <w:szCs w:val="28"/>
          <w:lang w:val="en-US" w:eastAsia="zh-CN"/>
        </w:rPr>
        <w:t>三、</w:t>
      </w:r>
      <w:r>
        <w:rPr>
          <w:rFonts w:hint="eastAsia" w:ascii="仿宋" w:hAnsi="仿宋" w:eastAsia="仿宋" w:cs="仿宋"/>
          <w:b/>
          <w:color w:val="auto"/>
          <w:sz w:val="28"/>
          <w:szCs w:val="28"/>
        </w:rPr>
        <w:t>采购项目简介：</w:t>
      </w:r>
      <w:r>
        <w:rPr>
          <w:rFonts w:hint="eastAsia" w:ascii="仿宋" w:hAnsi="仿宋" w:eastAsia="仿宋" w:cs="仿宋"/>
          <w:bCs/>
          <w:color w:val="auto"/>
          <w:sz w:val="28"/>
          <w:szCs w:val="28"/>
        </w:rPr>
        <w:t>详见谈判文件第五章。</w:t>
      </w:r>
    </w:p>
    <w:p w14:paraId="1BDD860A">
      <w:pPr>
        <w:spacing w:after="120" w:line="360" w:lineRule="auto"/>
        <w:rPr>
          <w:rFonts w:ascii="仿宋" w:hAnsi="仿宋" w:eastAsia="仿宋" w:cs="仿宋"/>
          <w:b/>
          <w:bCs/>
          <w:color w:val="auto"/>
          <w:sz w:val="28"/>
          <w:szCs w:val="28"/>
        </w:rPr>
      </w:pPr>
      <w:r>
        <w:rPr>
          <w:rFonts w:hint="eastAsia" w:ascii="仿宋" w:hAnsi="仿宋" w:eastAsia="仿宋" w:cs="仿宋"/>
          <w:b/>
          <w:bCs/>
          <w:color w:val="auto"/>
          <w:spacing w:val="-4"/>
          <w:sz w:val="28"/>
          <w:szCs w:val="28"/>
          <w:lang w:val="en-US" w:eastAsia="zh-CN"/>
        </w:rPr>
        <w:t>四</w:t>
      </w:r>
      <w:r>
        <w:rPr>
          <w:rFonts w:hint="eastAsia" w:ascii="仿宋" w:hAnsi="仿宋" w:eastAsia="仿宋" w:cs="仿宋"/>
          <w:b/>
          <w:bCs/>
          <w:color w:val="auto"/>
          <w:spacing w:val="-4"/>
          <w:sz w:val="28"/>
          <w:szCs w:val="28"/>
        </w:rPr>
        <w:t>、</w:t>
      </w:r>
      <w:r>
        <w:rPr>
          <w:rFonts w:hint="eastAsia" w:ascii="仿宋" w:hAnsi="仿宋" w:eastAsia="仿宋" w:cs="仿宋"/>
          <w:b/>
          <w:bCs/>
          <w:color w:val="auto"/>
          <w:sz w:val="28"/>
          <w:szCs w:val="28"/>
        </w:rPr>
        <w:t>供应商邀请方式</w:t>
      </w:r>
    </w:p>
    <w:p w14:paraId="0E8B9FE4">
      <w:pPr>
        <w:spacing w:after="120" w:line="360" w:lineRule="auto"/>
        <w:ind w:firstLine="560" w:firstLineChars="200"/>
        <w:rPr>
          <w:rFonts w:ascii="仿宋" w:hAnsi="仿宋" w:eastAsia="仿宋" w:cs="仿宋"/>
          <w:bCs/>
          <w:color w:val="auto"/>
          <w:sz w:val="28"/>
          <w:szCs w:val="28"/>
        </w:rPr>
      </w:pPr>
      <w:r>
        <w:rPr>
          <w:rFonts w:ascii="仿宋" w:hAnsi="仿宋" w:eastAsia="仿宋" w:cs="仿宋"/>
          <w:bCs/>
          <w:color w:val="auto"/>
          <w:sz w:val="28"/>
          <w:szCs w:val="28"/>
        </w:rPr>
        <w:t>公告方式：本次竞争性</w:t>
      </w:r>
      <w:r>
        <w:rPr>
          <w:rFonts w:hint="eastAsia" w:ascii="仿宋" w:hAnsi="仿宋" w:eastAsia="仿宋" w:cs="仿宋"/>
          <w:bCs/>
          <w:color w:val="auto"/>
          <w:sz w:val="28"/>
          <w:szCs w:val="28"/>
        </w:rPr>
        <w:t>谈判</w:t>
      </w:r>
      <w:r>
        <w:rPr>
          <w:rFonts w:ascii="仿宋" w:hAnsi="仿宋" w:eastAsia="仿宋" w:cs="仿宋"/>
          <w:bCs/>
          <w:color w:val="auto"/>
          <w:sz w:val="28"/>
          <w:szCs w:val="28"/>
        </w:rPr>
        <w:t>邀请在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ascii="仿宋" w:hAnsi="仿宋" w:eastAsia="仿宋" w:cs="仿宋"/>
          <w:bCs/>
          <w:color w:val="auto"/>
          <w:sz w:val="28"/>
          <w:szCs w:val="28"/>
        </w:rPr>
        <w:t>上以公告形式发布</w:t>
      </w:r>
      <w:r>
        <w:rPr>
          <w:rFonts w:hint="eastAsia" w:ascii="仿宋" w:hAnsi="仿宋" w:eastAsia="仿宋" w:cs="仿宋"/>
          <w:bCs/>
          <w:color w:val="auto"/>
          <w:sz w:val="28"/>
          <w:szCs w:val="28"/>
        </w:rPr>
        <w:t>。</w:t>
      </w:r>
    </w:p>
    <w:p w14:paraId="1E3ED2C3">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、供应商参加本次采购活动，应具备下列条件：</w:t>
      </w:r>
    </w:p>
    <w:p w14:paraId="30210E60">
      <w:pPr>
        <w:snapToGrid w:val="0"/>
        <w:spacing w:line="576" w:lineRule="exact"/>
        <w:ind w:firstLine="560" w:firstLineChars="200"/>
        <w:rPr>
          <w:rFonts w:ascii="仿宋" w:hAnsi="仿宋" w:eastAsia="仿宋" w:cs="仿宋"/>
          <w:bCs/>
          <w:color w:val="auto"/>
          <w:sz w:val="28"/>
          <w:szCs w:val="28"/>
        </w:rPr>
      </w:pPr>
      <w:bookmarkStart w:id="5" w:name="PO_供应商资格条件_1"/>
      <w:r>
        <w:rPr>
          <w:rFonts w:hint="eastAsia" w:ascii="仿宋" w:hAnsi="仿宋" w:eastAsia="仿宋" w:cs="仿宋"/>
          <w:bCs/>
          <w:color w:val="auto"/>
          <w:sz w:val="28"/>
          <w:szCs w:val="28"/>
        </w:rPr>
        <w:t xml:space="preserve">具备《中华人民共和国政府采购法》第二十二条规定的条件： </w:t>
      </w:r>
    </w:p>
    <w:p w14:paraId="061C84C7">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1.具有独立承担民事责任的能力；</w:t>
      </w:r>
    </w:p>
    <w:p w14:paraId="7C2A6A39">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2.具有良好的商业信誉和健全的财务会计制度；</w:t>
      </w:r>
    </w:p>
    <w:p w14:paraId="74FDB7C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3.具有履行合同所必须的设备和专业技术能力；</w:t>
      </w:r>
    </w:p>
    <w:p w14:paraId="49B57A9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4.具有依法缴纳税收和社会保障资金的良好记录；</w:t>
      </w:r>
    </w:p>
    <w:p w14:paraId="2141AAE8">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5.参加本次政府采购活动前三年内，在经营活动中没有重大违法记录；</w:t>
      </w:r>
    </w:p>
    <w:p w14:paraId="5B15BA6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6.法律、行政法规规定的其他条件。</w:t>
      </w:r>
    </w:p>
    <w:p w14:paraId="651E11F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7.根据采购项目提出的特殊条件：</w:t>
      </w:r>
      <w:r>
        <w:rPr>
          <w:rFonts w:hint="eastAsia" w:ascii="仿宋" w:hAnsi="仿宋" w:eastAsia="仿宋" w:cs="仿宋"/>
          <w:bCs/>
          <w:color w:val="auto"/>
          <w:sz w:val="28"/>
          <w:szCs w:val="28"/>
          <w:u w:val="single"/>
        </w:rPr>
        <w:t>本项目不接受联合体谈判。</w:t>
      </w:r>
      <w:bookmarkEnd w:id="5"/>
    </w:p>
    <w:p w14:paraId="42D0F4CE">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、禁止参加本次采购活动的供应商</w:t>
      </w:r>
    </w:p>
    <w:p w14:paraId="60CB8839">
      <w:pPr>
        <w:snapToGrid w:val="0"/>
        <w:spacing w:line="576" w:lineRule="exact"/>
        <w:ind w:firstLine="560" w:firstLineChars="200"/>
        <w:rPr>
          <w:rFonts w:ascii="仿宋" w:hAnsi="仿宋" w:eastAsia="仿宋" w:cs="仿宋"/>
          <w:bCs/>
          <w:color w:val="auto"/>
          <w:sz w:val="28"/>
          <w:szCs w:val="28"/>
        </w:rPr>
      </w:pPr>
      <w:bookmarkStart w:id="6" w:name="PO_默认文件内容_4"/>
      <w:r>
        <w:rPr>
          <w:rFonts w:hint="eastAsia" w:ascii="仿宋" w:hAnsi="仿宋" w:eastAsia="仿宋" w:cs="仿宋"/>
          <w:bCs/>
          <w:color w:val="auto"/>
          <w:sz w:val="28"/>
          <w:szCs w:val="28"/>
        </w:rPr>
        <w:t>根据《关于在政府采购活动中查询及使用信用记录有关问题的通知》（财库〔2016〕125号）的要求，</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6"/>
    <w:p w14:paraId="7C781E32">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、竞争性谈判文件获取时间及方式</w:t>
      </w:r>
      <w:r>
        <w:rPr>
          <w:rFonts w:hint="eastAsia" w:ascii="仿宋" w:hAnsi="仿宋" w:eastAsia="仿宋" w:cs="仿宋"/>
          <w:b/>
          <w:color w:val="auto"/>
          <w:sz w:val="28"/>
          <w:szCs w:val="28"/>
          <w:lang w:val="zh-CN"/>
        </w:rPr>
        <w:t>。</w:t>
      </w:r>
    </w:p>
    <w:p w14:paraId="3937917A">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竞争性谈判自</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12</w:t>
      </w:r>
      <w:r>
        <w:rPr>
          <w:rFonts w:hint="eastAsia" w:ascii="仿宋" w:hAnsi="仿宋" w:eastAsia="仿宋" w:cs="仿宋"/>
          <w:bCs/>
          <w:color w:val="auto"/>
          <w:sz w:val="28"/>
          <w:szCs w:val="28"/>
        </w:rPr>
        <w:t>日至</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14</w:t>
      </w:r>
      <w:r>
        <w:rPr>
          <w:rFonts w:hint="eastAsia" w:ascii="仿宋" w:hAnsi="仿宋" w:eastAsia="仿宋" w:cs="仿宋"/>
          <w:bCs/>
          <w:color w:val="auto"/>
          <w:sz w:val="28"/>
          <w:szCs w:val="28"/>
        </w:rPr>
        <w:t>日上午</w:t>
      </w:r>
      <w:r>
        <w:rPr>
          <w:rFonts w:hint="eastAsia" w:ascii="仿宋" w:hAnsi="仿宋" w:eastAsia="仿宋" w:cs="仿宋"/>
          <w:b/>
          <w:color w:val="auto"/>
          <w:sz w:val="28"/>
          <w:szCs w:val="28"/>
          <w:u w:val="single"/>
        </w:rPr>
        <w:t>09:00-12:00</w:t>
      </w:r>
      <w:r>
        <w:rPr>
          <w:rFonts w:hint="eastAsia" w:ascii="仿宋" w:hAnsi="仿宋" w:eastAsia="仿宋" w:cs="仿宋"/>
          <w:bCs/>
          <w:color w:val="auto"/>
          <w:sz w:val="28"/>
          <w:szCs w:val="28"/>
        </w:rPr>
        <w:t>，下午</w:t>
      </w:r>
      <w:r>
        <w:rPr>
          <w:rFonts w:hint="eastAsia" w:ascii="仿宋" w:hAnsi="仿宋" w:eastAsia="仿宋" w:cs="仿宋"/>
          <w:b/>
          <w:color w:val="auto"/>
          <w:sz w:val="28"/>
          <w:szCs w:val="28"/>
          <w:u w:val="single"/>
        </w:rPr>
        <w:t>14:00-17:00</w:t>
      </w:r>
      <w:r>
        <w:rPr>
          <w:rFonts w:hint="eastAsia" w:ascii="仿宋" w:hAnsi="仿宋" w:eastAsia="仿宋" w:cs="仿宋"/>
          <w:bCs/>
          <w:color w:val="auto"/>
          <w:sz w:val="28"/>
          <w:szCs w:val="28"/>
        </w:rPr>
        <w:t>（北京时间，法定节假日除外）在</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）现场获取。谈判文件售价：人民币</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00</w:t>
      </w:r>
      <w:r>
        <w:rPr>
          <w:rFonts w:hint="eastAsia" w:ascii="仿宋" w:hAnsi="仿宋" w:eastAsia="仿宋" w:cs="仿宋"/>
          <w:bCs/>
          <w:color w:val="auto"/>
          <w:sz w:val="28"/>
          <w:szCs w:val="28"/>
        </w:rPr>
        <w:t>元/份（竞争性谈判文件售后不退,谈判资格不能转让）。</w:t>
      </w:r>
    </w:p>
    <w:p w14:paraId="69C25658">
      <w:pPr>
        <w:spacing w:line="360" w:lineRule="auto"/>
        <w:ind w:firstLine="560" w:firstLineChars="200"/>
        <w:rPr>
          <w:rFonts w:hint="eastAsia" w:ascii="仿宋" w:hAnsi="仿宋" w:eastAsia="仿宋" w:cs="仿宋"/>
          <w:bCs/>
          <w:color w:val="auto"/>
          <w:sz w:val="28"/>
          <w:szCs w:val="28"/>
        </w:rPr>
      </w:pPr>
      <w:r>
        <w:rPr>
          <w:rFonts w:hint="eastAsia" w:ascii="宋体" w:hAnsi="宋体" w:cs="宋体"/>
          <w:b/>
          <w:bCs/>
          <w:color w:val="auto"/>
          <w:sz w:val="28"/>
          <w:szCs w:val="28"/>
        </w:rPr>
        <w:t>现场获取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经办人员须携带介绍信、委托人身份证、营业执照副本复印件（加盖公章），带U盘拷贝或发邮件。</w:t>
      </w:r>
    </w:p>
    <w:p w14:paraId="29067B2B">
      <w:pPr>
        <w:spacing w:line="360" w:lineRule="auto"/>
        <w:ind w:firstLine="560" w:firstLineChars="200"/>
        <w:rPr>
          <w:rFonts w:hint="eastAsia" w:ascii="仿宋" w:hAnsi="仿宋" w:eastAsia="仿宋" w:cs="仿宋"/>
          <w:b/>
          <w:color w:val="auto"/>
          <w:sz w:val="28"/>
          <w:szCs w:val="28"/>
        </w:rPr>
      </w:pPr>
      <w:r>
        <w:rPr>
          <w:rFonts w:hint="eastAsia" w:ascii="宋体" w:hAnsi="宋体" w:cs="宋体"/>
          <w:b/>
          <w:bCs/>
          <w:color w:val="auto"/>
          <w:sz w:val="28"/>
          <w:szCs w:val="28"/>
          <w:lang w:val="en-US" w:eastAsia="zh-CN"/>
        </w:rPr>
        <w:t>网上</w:t>
      </w:r>
      <w:r>
        <w:rPr>
          <w:rFonts w:hint="eastAsia" w:ascii="宋体" w:hAnsi="宋体" w:cs="宋体"/>
          <w:b/>
          <w:bCs/>
          <w:color w:val="auto"/>
          <w:sz w:val="28"/>
          <w:szCs w:val="28"/>
        </w:rPr>
        <w:t>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须将</w:t>
      </w:r>
      <w:r>
        <w:rPr>
          <w:rFonts w:hint="eastAsia" w:ascii="仿宋" w:hAnsi="仿宋" w:eastAsia="仿宋" w:cs="仿宋"/>
          <w:bCs/>
          <w:color w:val="auto"/>
          <w:sz w:val="28"/>
          <w:szCs w:val="28"/>
          <w:lang w:val="en-US" w:eastAsia="zh-CN"/>
        </w:rPr>
        <w:t>现场提交的</w:t>
      </w:r>
      <w:r>
        <w:rPr>
          <w:rFonts w:hint="eastAsia" w:ascii="仿宋" w:hAnsi="仿宋" w:eastAsia="仿宋" w:cs="仿宋"/>
          <w:bCs/>
          <w:color w:val="auto"/>
          <w:sz w:val="28"/>
          <w:szCs w:val="28"/>
        </w:rPr>
        <w:t>资料加盖</w:t>
      </w:r>
      <w:r>
        <w:rPr>
          <w:rFonts w:hint="eastAsia" w:ascii="仿宋" w:hAnsi="仿宋" w:eastAsia="仿宋" w:cs="仿宋"/>
          <w:bCs/>
          <w:color w:val="auto"/>
          <w:sz w:val="28"/>
          <w:szCs w:val="28"/>
          <w:lang w:val="en-US" w:eastAsia="zh-CN"/>
        </w:rPr>
        <w:t>供应商</w:t>
      </w:r>
      <w:r>
        <w:rPr>
          <w:rFonts w:hint="eastAsia" w:ascii="仿宋" w:hAnsi="仿宋" w:eastAsia="仿宋" w:cs="仿宋"/>
          <w:bCs/>
          <w:color w:val="auto"/>
          <w:sz w:val="28"/>
          <w:szCs w:val="28"/>
        </w:rPr>
        <w:t>鲜章后进行扫描，将扫描件发送至采购代理机构处，QQ邮箱：</w:t>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"mailto:1049456772@qq.com。（请供应商自行仔细检查资料无误后再发送至采购代理机构处！）"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lang w:val="en-US" w:eastAsia="zh-CN"/>
        </w:rPr>
        <w:t>3676965633</w:t>
      </w:r>
      <w:r>
        <w:rPr>
          <w:rFonts w:hint="eastAsia" w:ascii="仿宋" w:hAnsi="仿宋" w:eastAsia="仿宋" w:cs="仿宋"/>
          <w:bCs/>
          <w:color w:val="auto"/>
          <w:sz w:val="28"/>
          <w:szCs w:val="28"/>
        </w:rPr>
        <w:t>@qq.com。（请供应商自行仔细检查资料无误后再发送至采购代理机构处！）</w:t>
      </w:r>
      <w:r>
        <w:rPr>
          <w:rFonts w:hint="eastAsia" w:ascii="仿宋" w:hAnsi="仿宋" w:eastAsia="仿宋" w:cs="仿宋"/>
          <w:bCs/>
          <w:color w:val="auto"/>
          <w:sz w:val="28"/>
          <w:szCs w:val="28"/>
        </w:rPr>
        <w:fldChar w:fldCharType="end"/>
      </w:r>
    </w:p>
    <w:p w14:paraId="413FCB6F">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八、递交响应文件截止时间：</w:t>
      </w:r>
      <w:bookmarkStart w:id="109" w:name="_GoBack"/>
      <w:bookmarkEnd w:id="109"/>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18</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366144A2">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
          <w:color w:val="auto"/>
          <w:sz w:val="28"/>
          <w:szCs w:val="28"/>
        </w:rPr>
        <w:t>谈判时间：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18</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43A21420">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响应文件必须在递交截止时间前送达谈判地点并现场递交（本次谈判不接受邮寄的响应文件），逾期送达的响应文件不予接收。</w:t>
      </w:r>
    </w:p>
    <w:p w14:paraId="7BC74ECA">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九、谈判地点：</w:t>
      </w:r>
      <w:r>
        <w:rPr>
          <w:rFonts w:hint="eastAsia" w:ascii="仿宋" w:hAnsi="仿宋" w:eastAsia="仿宋" w:cs="仿宋"/>
          <w:b/>
          <w:color w:val="auto"/>
          <w:sz w:val="28"/>
          <w:szCs w:val="28"/>
          <w:u w:val="single"/>
          <w:lang w:eastAsia="zh-CN"/>
        </w:rPr>
        <w:t>重庆大正建设工程经济技术有限公司</w:t>
      </w:r>
      <w:r>
        <w:rPr>
          <w:rFonts w:hint="eastAsia" w:ascii="仿宋" w:hAnsi="仿宋" w:eastAsia="仿宋" w:cs="仿宋"/>
          <w:b/>
          <w:color w:val="auto"/>
          <w:sz w:val="28"/>
          <w:szCs w:val="28"/>
          <w:u w:val="single"/>
          <w:lang w:val="en-US" w:eastAsia="zh-CN"/>
        </w:rPr>
        <w:t>开标室</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w:t>
      </w:r>
    </w:p>
    <w:p w14:paraId="37448099">
      <w:pPr>
        <w:pStyle w:val="77"/>
        <w:ind w:left="0" w:leftChars="0" w:firstLine="0" w:firstLineChars="0"/>
        <w:rPr>
          <w:rFonts w:ascii="仿宋" w:hAnsi="仿宋" w:eastAsia="仿宋" w:cs="仿宋"/>
          <w:b/>
          <w:color w:val="auto"/>
          <w:sz w:val="28"/>
          <w:szCs w:val="28"/>
        </w:rPr>
      </w:pPr>
      <w:r>
        <w:rPr>
          <w:rFonts w:hint="eastAsia" w:ascii="仿宋" w:hAnsi="仿宋" w:eastAsia="仿宋" w:cs="仿宋"/>
          <w:b/>
          <w:color w:val="auto"/>
          <w:sz w:val="28"/>
          <w:szCs w:val="28"/>
        </w:rPr>
        <w:t>十、联系方式</w:t>
      </w:r>
    </w:p>
    <w:p w14:paraId="4F8A2A8E">
      <w:pPr>
        <w:pStyle w:val="77"/>
        <w:ind w:left="0" w:leftChars="0" w:firstLine="0" w:firstLineChars="0"/>
        <w:rPr>
          <w:rFonts w:hint="eastAsia" w:ascii="仿宋" w:hAnsi="仿宋" w:eastAsia="仿宋" w:cs="仿宋"/>
          <w:bCs/>
          <w:color w:val="auto"/>
          <w:sz w:val="28"/>
          <w:szCs w:val="28"/>
          <w:lang w:val="en-US" w:eastAsia="zh-CN"/>
        </w:rPr>
      </w:pPr>
      <w:bookmarkStart w:id="7" w:name="_Toc213396945"/>
      <w:bookmarkStart w:id="8" w:name="_Toc509579141"/>
      <w:bookmarkStart w:id="9" w:name="_Toc217446031"/>
      <w:bookmarkStart w:id="10" w:name="_Toc213396759"/>
      <w:bookmarkStart w:id="11" w:name="_Toc213496267"/>
      <w:bookmarkStart w:id="12" w:name="_Toc213397009"/>
      <w:r>
        <w:rPr>
          <w:rFonts w:hint="eastAsia" w:ascii="仿宋" w:hAnsi="仿宋" w:eastAsia="仿宋" w:cs="仿宋"/>
          <w:bCs/>
          <w:color w:val="auto"/>
          <w:sz w:val="28"/>
          <w:szCs w:val="28"/>
        </w:rPr>
        <w:t>采购人：</w:t>
      </w:r>
      <w:r>
        <w:rPr>
          <w:rFonts w:hint="eastAsia" w:ascii="仿宋" w:hAnsi="仿宋" w:eastAsia="仿宋" w:cs="仿宋"/>
          <w:bCs/>
          <w:color w:val="auto"/>
          <w:sz w:val="28"/>
          <w:szCs w:val="28"/>
          <w:lang w:val="en-US" w:eastAsia="zh-CN"/>
        </w:rPr>
        <w:t>四川川信致远资产经营管理有限公司</w:t>
      </w:r>
    </w:p>
    <w:p w14:paraId="476B210C">
      <w:pPr>
        <w:pStyle w:val="77"/>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val="en-US" w:eastAsia="zh-CN"/>
        </w:rPr>
        <w:t>广元市利州利州区滨河北路二段广元市创业孵化园1楼</w:t>
      </w:r>
    </w:p>
    <w:p w14:paraId="5EC80225">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eastAsia="zh-CN"/>
        </w:rPr>
        <w:t>韩老师</w:t>
      </w:r>
      <w:r>
        <w:rPr>
          <w:rFonts w:hint="eastAsia" w:ascii="仿宋" w:hAnsi="仿宋" w:eastAsia="仿宋" w:cs="仿宋"/>
          <w:bCs/>
          <w:color w:val="auto"/>
          <w:sz w:val="28"/>
          <w:szCs w:val="28"/>
          <w:lang w:val="en-US" w:eastAsia="zh-CN"/>
        </w:rPr>
        <w:t xml:space="preserve"> </w:t>
      </w:r>
    </w:p>
    <w:p w14:paraId="7798D8ED">
      <w:pPr>
        <w:spacing w:line="360" w:lineRule="auto"/>
        <w:ind w:left="0" w:leftChars="0" w:firstLine="0"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18011165890</w:t>
      </w:r>
    </w:p>
    <w:p w14:paraId="41A90304">
      <w:pPr>
        <w:spacing w:line="360" w:lineRule="auto"/>
        <w:ind w:left="0" w:leftChars="0" w:firstLine="0" w:firstLineChars="0"/>
        <w:rPr>
          <w:rFonts w:hint="eastAsia" w:ascii="仿宋" w:hAnsi="仿宋" w:eastAsia="仿宋" w:cs="仿宋"/>
          <w:bCs/>
          <w:color w:val="auto"/>
          <w:sz w:val="28"/>
          <w:szCs w:val="28"/>
        </w:rPr>
      </w:pPr>
    </w:p>
    <w:p w14:paraId="592DBB30">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采购代理机构：</w:t>
      </w:r>
      <w:r>
        <w:rPr>
          <w:rFonts w:hint="eastAsia" w:ascii="仿宋" w:hAnsi="仿宋" w:eastAsia="仿宋" w:cs="仿宋"/>
          <w:bCs/>
          <w:color w:val="auto"/>
          <w:sz w:val="28"/>
          <w:szCs w:val="28"/>
          <w:lang w:eastAsia="zh-CN"/>
        </w:rPr>
        <w:t>重庆大正建设工程经济技术有限公司</w:t>
      </w:r>
    </w:p>
    <w:p w14:paraId="08507F7F">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eastAsia="zh-CN"/>
        </w:rPr>
        <w:t>广元市利州区万源邦泰.天誉(西区)3-3-42</w:t>
      </w:r>
    </w:p>
    <w:p w14:paraId="33618C22">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zh-CN"/>
        </w:rPr>
        <w:t>蒲先生</w:t>
      </w:r>
    </w:p>
    <w:p w14:paraId="734D12B9">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zh-CN"/>
        </w:rPr>
        <w:t>15883597877</w:t>
      </w:r>
      <w:r>
        <w:rPr>
          <w:rFonts w:hint="eastAsia" w:ascii="仿宋" w:hAnsi="仿宋" w:eastAsia="仿宋" w:cs="仿宋"/>
          <w:bCs/>
          <w:color w:val="auto"/>
          <w:sz w:val="28"/>
          <w:szCs w:val="28"/>
        </w:rPr>
        <w:t xml:space="preserve">          </w:t>
      </w:r>
    </w:p>
    <w:p w14:paraId="7AFB14BA">
      <w:pPr>
        <w:spacing w:line="360" w:lineRule="auto"/>
        <w:ind w:firstLine="4480" w:firstLineChars="16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2025</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02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11日</w:t>
      </w:r>
    </w:p>
    <w:p w14:paraId="47113C94">
      <w:pPr>
        <w:rPr>
          <w:color w:val="auto"/>
          <w:sz w:val="28"/>
          <w:szCs w:val="36"/>
        </w:rPr>
      </w:pPr>
      <w:bookmarkStart w:id="13" w:name="_Toc41037903"/>
    </w:p>
    <w:p w14:paraId="39636963">
      <w:pPr>
        <w:pStyle w:val="38"/>
        <w:rPr>
          <w:rFonts w:ascii="仿宋" w:hAnsi="仿宋" w:eastAsia="仿宋" w:cs="Times New Roman"/>
          <w:color w:val="auto"/>
        </w:rPr>
      </w:pPr>
      <w:r>
        <w:rPr>
          <w:rFonts w:hint="eastAsia" w:ascii="仿宋" w:hAnsi="仿宋" w:eastAsia="仿宋" w:cs="仿宋"/>
          <w:color w:val="auto"/>
          <w:highlight w:val="red"/>
        </w:rPr>
        <w:br w:type="page"/>
      </w:r>
      <w:r>
        <w:rPr>
          <w:rFonts w:hint="eastAsia" w:ascii="仿宋" w:hAnsi="仿宋" w:eastAsia="仿宋" w:cs="仿宋"/>
          <w:color w:val="auto"/>
        </w:rPr>
        <w:t>第二章谈判须知</w:t>
      </w:r>
      <w:bookmarkEnd w:id="7"/>
      <w:bookmarkEnd w:id="8"/>
      <w:bookmarkEnd w:id="9"/>
      <w:bookmarkEnd w:id="10"/>
      <w:bookmarkEnd w:id="11"/>
      <w:bookmarkEnd w:id="12"/>
      <w:bookmarkEnd w:id="13"/>
    </w:p>
    <w:p w14:paraId="54594E39">
      <w:pPr>
        <w:pStyle w:val="3"/>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一、供应商竞争性谈判采购须知表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406BC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14:paraId="1A23FABB">
            <w:pPr>
              <w:pStyle w:val="79"/>
              <w:snapToGrid w:val="0"/>
              <w:ind w:left="9"/>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序号</w:t>
            </w:r>
          </w:p>
        </w:tc>
        <w:tc>
          <w:tcPr>
            <w:tcW w:w="2409" w:type="dxa"/>
            <w:tcBorders>
              <w:top w:val="single" w:color="auto" w:sz="18" w:space="0"/>
            </w:tcBorders>
            <w:vAlign w:val="center"/>
          </w:tcPr>
          <w:p w14:paraId="717CE7D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应知事项</w:t>
            </w:r>
          </w:p>
        </w:tc>
        <w:tc>
          <w:tcPr>
            <w:tcW w:w="6084" w:type="dxa"/>
            <w:tcBorders>
              <w:top w:val="single" w:color="auto" w:sz="18" w:space="0"/>
            </w:tcBorders>
            <w:vAlign w:val="center"/>
          </w:tcPr>
          <w:p w14:paraId="43F9BF23">
            <w:pPr>
              <w:pStyle w:val="79"/>
              <w:snapToGrid w:val="0"/>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说明和要求</w:t>
            </w:r>
          </w:p>
        </w:tc>
      </w:tr>
      <w:tr w14:paraId="34061B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tcBorders>
              <w:bottom w:val="single" w:color="auto" w:sz="4" w:space="0"/>
            </w:tcBorders>
            <w:vAlign w:val="center"/>
          </w:tcPr>
          <w:p w14:paraId="2EAF3124">
            <w:pPr>
              <w:pStyle w:val="79"/>
              <w:snapToGrid w:val="0"/>
              <w:ind w:right="230"/>
              <w:jc w:val="center"/>
              <w:rPr>
                <w:rFonts w:ascii="仿宋" w:hAnsi="仿宋" w:eastAsia="仿宋" w:cs="仿宋"/>
                <w:color w:val="auto"/>
                <w:sz w:val="28"/>
                <w:szCs w:val="28"/>
                <w:lang w:val="zh-CN"/>
              </w:rPr>
            </w:pPr>
            <w:r>
              <w:rPr>
                <w:rFonts w:ascii="仿宋" w:hAnsi="仿宋" w:eastAsia="仿宋" w:cs="仿宋"/>
                <w:color w:val="auto"/>
                <w:sz w:val="28"/>
                <w:szCs w:val="28"/>
                <w:lang w:val="zh-CN"/>
              </w:rPr>
              <w:t>1</w:t>
            </w:r>
          </w:p>
        </w:tc>
        <w:tc>
          <w:tcPr>
            <w:tcW w:w="2409" w:type="dxa"/>
            <w:tcBorders>
              <w:bottom w:val="single" w:color="auto" w:sz="4" w:space="0"/>
            </w:tcBorders>
            <w:vAlign w:val="center"/>
          </w:tcPr>
          <w:p w14:paraId="103733DE">
            <w:pPr>
              <w:snapToGrid w:val="0"/>
              <w:ind w:left="38"/>
              <w:jc w:val="center"/>
              <w:rPr>
                <w:rFonts w:ascii="仿宋" w:hAnsi="仿宋" w:eastAsia="仿宋" w:cs="宋体"/>
                <w:color w:val="auto"/>
                <w:sz w:val="28"/>
                <w:szCs w:val="28"/>
                <w:lang w:val="zh-CN"/>
              </w:rPr>
            </w:pPr>
            <w:r>
              <w:rPr>
                <w:rFonts w:hint="eastAsia" w:ascii="仿宋" w:hAnsi="仿宋" w:eastAsia="仿宋" w:cs="宋体"/>
                <w:color w:val="auto"/>
                <w:sz w:val="28"/>
                <w:szCs w:val="28"/>
                <w:lang w:val="zh-CN"/>
              </w:rPr>
              <w:t>确定邀请谈判的</w:t>
            </w:r>
          </w:p>
          <w:p w14:paraId="6C09B52A">
            <w:pPr>
              <w:snapToGrid w:val="0"/>
              <w:ind w:left="38"/>
              <w:jc w:val="center"/>
              <w:rPr>
                <w:rFonts w:ascii="仿宋" w:hAnsi="仿宋" w:eastAsia="仿宋" w:cs="宋体"/>
                <w:color w:val="auto"/>
                <w:sz w:val="28"/>
                <w:szCs w:val="28"/>
              </w:rPr>
            </w:pPr>
            <w:r>
              <w:rPr>
                <w:rFonts w:hint="eastAsia" w:ascii="仿宋" w:hAnsi="仿宋" w:eastAsia="仿宋" w:cs="宋体"/>
                <w:color w:val="auto"/>
                <w:sz w:val="28"/>
                <w:szCs w:val="28"/>
                <w:lang w:val="zh-CN"/>
              </w:rPr>
              <w:t>供应商数量和方式</w:t>
            </w:r>
          </w:p>
        </w:tc>
        <w:tc>
          <w:tcPr>
            <w:tcW w:w="6084" w:type="dxa"/>
            <w:tcBorders>
              <w:bottom w:val="single" w:color="auto" w:sz="4" w:space="0"/>
            </w:tcBorders>
            <w:vAlign w:val="center"/>
          </w:tcPr>
          <w:p w14:paraId="3B486357">
            <w:pPr>
              <w:pStyle w:val="79"/>
              <w:snapToGrid w:val="0"/>
              <w:ind w:firstLine="280" w:firstLineChars="100"/>
              <w:jc w:val="both"/>
              <w:rPr>
                <w:rFonts w:ascii="仿宋" w:hAnsi="仿宋" w:eastAsia="仿宋"/>
                <w:color w:val="auto"/>
                <w:sz w:val="28"/>
                <w:szCs w:val="28"/>
                <w:lang w:val="zh-CN"/>
              </w:rPr>
            </w:pPr>
            <w:r>
              <w:rPr>
                <w:rFonts w:hint="eastAsia" w:ascii="仿宋" w:hAnsi="仿宋" w:eastAsia="仿宋"/>
                <w:color w:val="auto"/>
                <w:sz w:val="28"/>
                <w:szCs w:val="28"/>
                <w:lang w:val="zh-CN"/>
              </w:rPr>
              <w:t>本次谈判邀请的供应商数量：不小于三家</w:t>
            </w:r>
          </w:p>
          <w:p w14:paraId="5D01A4C4">
            <w:pPr>
              <w:snapToGrid w:val="0"/>
              <w:ind w:firstLine="280" w:firstLineChars="100"/>
              <w:rPr>
                <w:rFonts w:ascii="仿宋" w:hAnsi="仿宋" w:eastAsia="仿宋" w:cs="宋体"/>
                <w:color w:val="auto"/>
                <w:sz w:val="28"/>
                <w:szCs w:val="28"/>
              </w:rPr>
            </w:pPr>
            <w:r>
              <w:rPr>
                <w:rFonts w:hint="eastAsia" w:ascii="仿宋" w:hAnsi="仿宋" w:eastAsia="仿宋" w:cs="宋体"/>
                <w:color w:val="auto"/>
                <w:sz w:val="28"/>
                <w:szCs w:val="28"/>
                <w:lang w:val="zh-CN"/>
              </w:rPr>
              <w:t>本次采购采取公告的方式邀请参加谈判的供应商。</w:t>
            </w:r>
          </w:p>
        </w:tc>
      </w:tr>
      <w:tr w14:paraId="69A6A2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14:paraId="0CE67F55">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2</w:t>
            </w:r>
          </w:p>
        </w:tc>
        <w:tc>
          <w:tcPr>
            <w:tcW w:w="2409" w:type="dxa"/>
            <w:tcBorders>
              <w:top w:val="single" w:color="auto" w:sz="4" w:space="0"/>
            </w:tcBorders>
            <w:vAlign w:val="center"/>
          </w:tcPr>
          <w:p w14:paraId="0CC8C0B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采购预算</w:t>
            </w:r>
          </w:p>
          <w:p w14:paraId="1AF027EA">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tcBorders>
              <w:top w:val="single" w:color="auto" w:sz="4" w:space="0"/>
            </w:tcBorders>
          </w:tcPr>
          <w:p w14:paraId="6A8ACEDF">
            <w:pPr>
              <w:pStyle w:val="79"/>
              <w:snapToGrid w:val="0"/>
              <w:jc w:val="both"/>
              <w:rPr>
                <w:rFonts w:ascii="仿宋" w:hAnsi="仿宋" w:eastAsia="仿宋" w:cs="仿宋"/>
                <w:b/>
                <w:bCs/>
                <w:color w:val="auto"/>
                <w:sz w:val="28"/>
                <w:szCs w:val="28"/>
              </w:rPr>
            </w:pPr>
            <w:r>
              <w:rPr>
                <w:rFonts w:hint="eastAsia" w:ascii="仿宋" w:hAnsi="仿宋" w:eastAsia="仿宋" w:cs="仿宋"/>
                <w:color w:val="auto"/>
                <w:sz w:val="28"/>
                <w:szCs w:val="28"/>
              </w:rPr>
              <w:t>采购预算：</w:t>
            </w:r>
            <w:r>
              <w:rPr>
                <w:rFonts w:hint="eastAsia" w:ascii="仿宋" w:hAnsi="仿宋" w:eastAsia="仿宋" w:cs="仿宋"/>
                <w:color w:val="auto"/>
                <w:sz w:val="28"/>
                <w:szCs w:val="28"/>
                <w:lang w:val="en-US" w:eastAsia="zh-CN"/>
              </w:rPr>
              <w:t>详见第五章货物清单中单价最高限价</w:t>
            </w:r>
            <w:r>
              <w:rPr>
                <w:rFonts w:hint="eastAsia" w:ascii="仿宋" w:hAnsi="仿宋" w:eastAsia="仿宋" w:cs="仿宋"/>
                <w:b/>
                <w:bCs/>
                <w:color w:val="auto"/>
                <w:sz w:val="28"/>
                <w:szCs w:val="28"/>
              </w:rPr>
              <w:t>。</w:t>
            </w:r>
          </w:p>
          <w:p w14:paraId="1CF7FB4C">
            <w:pPr>
              <w:pStyle w:val="79"/>
              <w:snapToGrid w:val="0"/>
              <w:ind w:firstLine="280" w:firstLineChars="1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最后报价超过采购预算</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50BB93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538F5E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3</w:t>
            </w:r>
          </w:p>
        </w:tc>
        <w:tc>
          <w:tcPr>
            <w:tcW w:w="2409" w:type="dxa"/>
            <w:vAlign w:val="center"/>
          </w:tcPr>
          <w:p w14:paraId="772F8FB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最高限价</w:t>
            </w:r>
          </w:p>
          <w:p w14:paraId="54AFCF3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vAlign w:val="center"/>
          </w:tcPr>
          <w:p w14:paraId="669B5F3C">
            <w:pPr>
              <w:pStyle w:val="79"/>
              <w:snapToGrid w:val="0"/>
              <w:jc w:val="both"/>
              <w:rPr>
                <w:rFonts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详见第五章货物清单中单价最高限价。</w:t>
            </w:r>
          </w:p>
          <w:p w14:paraId="7529B244">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最后报价超过</w:t>
            </w:r>
            <w:r>
              <w:rPr>
                <w:rFonts w:hint="eastAsia" w:ascii="仿宋" w:hAnsi="仿宋" w:eastAsia="仿宋" w:cs="仿宋"/>
                <w:color w:val="auto"/>
                <w:sz w:val="28"/>
                <w:szCs w:val="28"/>
                <w:lang w:val="en-US" w:eastAsia="zh-CN"/>
              </w:rPr>
              <w:t>最高限价</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0CBC10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14:paraId="0C5FE782">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5</w:t>
            </w:r>
          </w:p>
        </w:tc>
        <w:tc>
          <w:tcPr>
            <w:tcW w:w="2409" w:type="dxa"/>
            <w:vAlign w:val="center"/>
          </w:tcPr>
          <w:p w14:paraId="3A680497">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低于成本价</w:t>
            </w:r>
          </w:p>
          <w:p w14:paraId="6514854F">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不正当竞争预防措施</w:t>
            </w:r>
          </w:p>
          <w:p w14:paraId="0D2CB863">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（实质性要求）</w:t>
            </w:r>
          </w:p>
        </w:tc>
        <w:tc>
          <w:tcPr>
            <w:tcW w:w="6084" w:type="dxa"/>
            <w:vAlign w:val="center"/>
          </w:tcPr>
          <w:p w14:paraId="64B5D257">
            <w:pPr>
              <w:snapToGrid w:val="0"/>
              <w:ind w:left="105" w:leftChars="50" w:right="105" w:rightChars="50" w:firstLine="280" w:firstLineChars="100"/>
              <w:rPr>
                <w:rFonts w:ascii="仿宋" w:hAnsi="仿宋" w:eastAsia="仿宋"/>
                <w:color w:val="auto"/>
                <w:kern w:val="0"/>
                <w:sz w:val="28"/>
                <w:szCs w:val="28"/>
              </w:rPr>
            </w:pPr>
            <w:bookmarkStart w:id="14" w:name="PO_默认文件内容_111"/>
            <w:r>
              <w:rPr>
                <w:rFonts w:ascii="仿宋" w:hAnsi="仿宋" w:eastAsia="仿宋" w:cs="仿宋"/>
                <w:color w:val="auto"/>
                <w:kern w:val="0"/>
                <w:sz w:val="28"/>
                <w:szCs w:val="28"/>
              </w:rPr>
              <w:t>1</w:t>
            </w:r>
            <w:r>
              <w:rPr>
                <w:rFonts w:hint="eastAsia" w:ascii="仿宋" w:hAnsi="仿宋" w:eastAsia="仿宋" w:cs="仿宋"/>
                <w:color w:val="auto"/>
                <w:kern w:val="0"/>
                <w:sz w:val="28"/>
                <w:szCs w:val="28"/>
              </w:rPr>
              <w:t>、供应商报价低于采购预算50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或者低于其他有效供应商报价算术平均价40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4"/>
          </w:p>
          <w:p w14:paraId="15F92954">
            <w:pPr>
              <w:snapToGrid w:val="0"/>
              <w:ind w:left="105" w:leftChars="50" w:right="105" w:rightChars="50" w:firstLine="280" w:firstLineChars="100"/>
              <w:rPr>
                <w:rFonts w:ascii="仿宋" w:hAnsi="仿宋" w:eastAsia="仿宋"/>
                <w:color w:val="auto"/>
                <w:kern w:val="0"/>
                <w:sz w:val="28"/>
                <w:szCs w:val="28"/>
              </w:rPr>
            </w:pPr>
            <w:r>
              <w:rPr>
                <w:rFonts w:ascii="仿宋" w:hAnsi="仿宋" w:eastAsia="仿宋" w:cs="仿宋"/>
                <w:color w:val="auto"/>
                <w:kern w:val="0"/>
                <w:sz w:val="28"/>
                <w:szCs w:val="28"/>
              </w:rPr>
              <w:t>2</w:t>
            </w:r>
            <w:r>
              <w:rPr>
                <w:rFonts w:hint="eastAsia" w:ascii="仿宋" w:hAnsi="仿宋" w:eastAsia="仿宋" w:cs="仿宋"/>
                <w:color w:val="auto"/>
                <w:kern w:val="0"/>
                <w:sz w:val="28"/>
                <w:szCs w:val="28"/>
              </w:rPr>
              <w:t>、供应商书面说明应当签字确认或者加盖公章，否则无效。书面说明应由其法定代表人</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主要负责人或者其授权代表签字确认。</w:t>
            </w:r>
          </w:p>
          <w:p w14:paraId="5330FABC">
            <w:pPr>
              <w:snapToGrid w:val="0"/>
              <w:ind w:left="105" w:leftChars="50" w:right="105" w:rightChars="50" w:firstLine="280" w:firstLineChars="100"/>
              <w:rPr>
                <w:rFonts w:ascii="仿宋" w:hAnsi="仿宋" w:eastAsia="仿宋"/>
                <w:color w:val="auto"/>
                <w:sz w:val="28"/>
                <w:szCs w:val="28"/>
              </w:rPr>
            </w:pPr>
            <w:r>
              <w:rPr>
                <w:rFonts w:ascii="仿宋" w:hAnsi="仿宋" w:eastAsia="仿宋" w:cs="仿宋"/>
                <w:color w:val="auto"/>
                <w:kern w:val="0"/>
                <w:sz w:val="28"/>
                <w:szCs w:val="28"/>
              </w:rPr>
              <w:t>3</w:t>
            </w:r>
            <w:r>
              <w:rPr>
                <w:rFonts w:hint="eastAsia" w:ascii="仿宋" w:hAnsi="仿宋" w:eastAsia="仿宋" w:cs="仿宋"/>
                <w:color w:val="auto"/>
                <w:kern w:val="0"/>
                <w:sz w:val="28"/>
                <w:szCs w:val="28"/>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72349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6D61B80">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6</w:t>
            </w:r>
          </w:p>
          <w:p w14:paraId="316DA6FB">
            <w:pPr>
              <w:pStyle w:val="79"/>
              <w:snapToGrid w:val="0"/>
              <w:ind w:right="230"/>
              <w:rPr>
                <w:rFonts w:ascii="仿宋" w:hAnsi="仿宋" w:eastAsia="仿宋" w:cs="Times New Roman"/>
                <w:color w:val="auto"/>
                <w:sz w:val="28"/>
                <w:szCs w:val="28"/>
                <w:lang w:val="zh-CN"/>
              </w:rPr>
            </w:pPr>
          </w:p>
        </w:tc>
        <w:tc>
          <w:tcPr>
            <w:tcW w:w="2409" w:type="dxa"/>
            <w:vAlign w:val="center"/>
          </w:tcPr>
          <w:p w14:paraId="33B1C5AB">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小微企业（监狱企业、残疾人福利性单位视同小微企业）价格扣除和</w:t>
            </w:r>
          </w:p>
          <w:p w14:paraId="52F3799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失信企业报价加成</w:t>
            </w:r>
          </w:p>
          <w:p w14:paraId="5FA27D0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或者扣分</w:t>
            </w:r>
          </w:p>
          <w:p w14:paraId="7503CC94">
            <w:pPr>
              <w:pStyle w:val="79"/>
              <w:snapToGrid w:val="0"/>
              <w:ind w:left="38"/>
              <w:jc w:val="center"/>
              <w:rPr>
                <w:rFonts w:ascii="仿宋" w:hAnsi="仿宋" w:eastAsia="仿宋" w:cs="Times New Roman"/>
                <w:color w:val="auto"/>
                <w:sz w:val="28"/>
                <w:szCs w:val="28"/>
                <w:lang w:val="zh-CN"/>
              </w:rPr>
            </w:pPr>
          </w:p>
        </w:tc>
        <w:tc>
          <w:tcPr>
            <w:tcW w:w="6084" w:type="dxa"/>
          </w:tcPr>
          <w:p w14:paraId="01A30DB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一、小微企业（监狱企业、残疾人福利性单位视同小微企业）价格扣除</w:t>
            </w:r>
          </w:p>
          <w:p w14:paraId="4557039B">
            <w:pPr>
              <w:pStyle w:val="79"/>
              <w:snapToGrid w:val="0"/>
              <w:ind w:firstLine="280" w:firstLineChars="100"/>
              <w:jc w:val="both"/>
              <w:rPr>
                <w:rFonts w:hint="eastAsia" w:ascii="仿宋" w:hAnsi="仿宋" w:eastAsia="仿宋" w:cs="Times New Roman"/>
                <w:color w:val="auto"/>
                <w:sz w:val="28"/>
                <w:szCs w:val="28"/>
                <w:highlight w:val="none"/>
                <w:lang w:eastAsia="zh-CN"/>
              </w:rPr>
            </w:pPr>
            <w:r>
              <w:rPr>
                <w:rFonts w:ascii="仿宋" w:hAnsi="仿宋" w:eastAsia="仿宋" w:cs="Times New Roman"/>
                <w:color w:val="auto"/>
                <w:sz w:val="28"/>
                <w:szCs w:val="28"/>
                <w:highlight w:val="none"/>
              </w:rPr>
              <w:t>1.根据《政府采购促进中小企业发展管理办法》（财库﹝2020﹞46号）的规定，对小型和微型企业产品的价格给予</w:t>
            </w:r>
            <w:r>
              <w:rPr>
                <w:rFonts w:hint="eastAsia" w:ascii="仿宋" w:hAnsi="仿宋" w:eastAsia="仿宋" w:cs="Times New Roman"/>
                <w:color w:val="auto"/>
                <w:sz w:val="28"/>
                <w:szCs w:val="28"/>
                <w:highlight w:val="none"/>
                <w:lang w:val="en-US" w:eastAsia="zh-CN"/>
              </w:rPr>
              <w:t>2</w:t>
            </w:r>
            <w:r>
              <w:rPr>
                <w:rFonts w:ascii="仿宋" w:hAnsi="仿宋" w:eastAsia="仿宋" w:cs="Times New Roman"/>
                <w:color w:val="auto"/>
                <w:sz w:val="28"/>
                <w:szCs w:val="28"/>
                <w:highlight w:val="none"/>
              </w:rPr>
              <w:t>0%的价格扣除，用扣除后的价格参与评审。</w:t>
            </w:r>
            <w:r>
              <w:rPr>
                <w:rFonts w:hint="eastAsia" w:ascii="仿宋" w:hAnsi="仿宋" w:eastAsia="仿宋" w:cs="Times New Roman"/>
                <w:color w:val="auto"/>
                <w:sz w:val="28"/>
                <w:szCs w:val="28"/>
                <w:highlight w:val="none"/>
              </w:rPr>
              <w:t>（本项目仅面向中小企业，不再做价格扣除）</w:t>
            </w:r>
          </w:p>
          <w:p w14:paraId="4A3AC272">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2.参加政府采购活动的中小企业应当提供《中小企业声明函》原件。监狱企业应当提供《监狱企业证明》原件。残疾人福利性单位应当提供《残疾人福利性单位声明函》原件。</w:t>
            </w:r>
          </w:p>
          <w:p w14:paraId="39E786EF">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14:paraId="6D9319B0">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  联合体各方均为小型、微型企业的，联合体视同为小型、微型企业享受规定的扶持政策。组成联合体的大中型企业和其他自然人、法人或者其他组织，与小型、微型企业之间不得存在投资关系。</w:t>
            </w:r>
          </w:p>
          <w:p w14:paraId="4E8D46F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二、失信企业报价加成或者扣分</w:t>
            </w:r>
          </w:p>
          <w:p w14:paraId="2EC3E291">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009558E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2.供应商参加政府采购活动时，应当就自己的诚信情况在响应文件中进行承诺。</w:t>
            </w:r>
          </w:p>
        </w:tc>
      </w:tr>
      <w:tr w14:paraId="00967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A28B6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7</w:t>
            </w:r>
          </w:p>
        </w:tc>
        <w:tc>
          <w:tcPr>
            <w:tcW w:w="2409" w:type="dxa"/>
            <w:vAlign w:val="center"/>
          </w:tcPr>
          <w:p w14:paraId="1E9DDAA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kern w:val="2"/>
                <w:sz w:val="28"/>
                <w:szCs w:val="28"/>
              </w:rPr>
              <w:t>节能、环保及无线局域网产品政府采购政策</w:t>
            </w:r>
          </w:p>
        </w:tc>
        <w:tc>
          <w:tcPr>
            <w:tcW w:w="6084" w:type="dxa"/>
            <w:vAlign w:val="center"/>
          </w:tcPr>
          <w:p w14:paraId="70725149">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一、节能、环保产品政府采购政策：</w:t>
            </w:r>
          </w:p>
          <w:p w14:paraId="37BB83F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根据《财政部发展改革委生态环境部市场监管总局关于调整优化节能产品、环境标志产品政府采购执行机制的通知》（财库〔</w:t>
            </w:r>
            <w:r>
              <w:rPr>
                <w:rFonts w:ascii="仿宋" w:hAnsi="仿宋" w:eastAsia="仿宋" w:cs="仿宋"/>
                <w:color w:val="auto"/>
                <w:sz w:val="28"/>
                <w:szCs w:val="28"/>
              </w:rPr>
              <w:t>2019</w:t>
            </w:r>
            <w:r>
              <w:rPr>
                <w:rFonts w:hint="eastAsia" w:ascii="仿宋" w:hAnsi="仿宋" w:eastAsia="仿宋" w:cs="仿宋"/>
                <w:color w:val="auto"/>
                <w:sz w:val="28"/>
                <w:szCs w:val="28"/>
              </w:rPr>
              <w:t>〕</w:t>
            </w:r>
            <w:r>
              <w:rPr>
                <w:rFonts w:ascii="仿宋" w:hAnsi="仿宋" w:eastAsia="仿宋" w:cs="仿宋"/>
                <w:color w:val="auto"/>
                <w:sz w:val="28"/>
                <w:szCs w:val="28"/>
              </w:rPr>
              <w:t>9</w:t>
            </w:r>
            <w:r>
              <w:rPr>
                <w:rFonts w:hint="eastAsia" w:ascii="仿宋" w:hAnsi="仿宋" w:eastAsia="仿宋" w:cs="仿宋"/>
                <w:color w:val="auto"/>
                <w:sz w:val="28"/>
                <w:szCs w:val="28"/>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14:paraId="0A29CF27">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sz w:val="28"/>
                <w:szCs w:val="28"/>
              </w:rPr>
              <w:t>（实质性要求）</w:t>
            </w:r>
          </w:p>
          <w:p w14:paraId="269F649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本项目采购的产品属于品目清单优先采购范围的，对获得证书的产品实施政府优先采购。</w:t>
            </w:r>
          </w:p>
          <w:p w14:paraId="201CE256">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注：对政府采购节能产品、环境标志产品实施品目清单管理。财政部、发展改革委、生态环境部等部门确定实施政府优先采购和强制采购的产品类别，以品目清单的形式发布并适时调整。</w:t>
            </w:r>
          </w:p>
          <w:p w14:paraId="2291DDA5">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二、无线局域网产品政府采购政策：</w:t>
            </w:r>
          </w:p>
          <w:p w14:paraId="38E5C06C">
            <w:pPr>
              <w:snapToGrid w:val="0"/>
              <w:ind w:right="105" w:rightChars="50"/>
              <w:rPr>
                <w:rFonts w:ascii="仿宋" w:hAnsi="仿宋" w:eastAsia="仿宋"/>
                <w:color w:val="auto"/>
                <w:sz w:val="28"/>
                <w:szCs w:val="28"/>
                <w:lang w:val="zh-CN"/>
              </w:rPr>
            </w:pPr>
            <w:r>
              <w:rPr>
                <w:rFonts w:hint="eastAsia" w:ascii="仿宋" w:hAnsi="仿宋" w:eastAsia="仿宋" w:cs="仿宋"/>
                <w:color w:val="auto"/>
                <w:sz w:val="28"/>
                <w:szCs w:val="28"/>
              </w:rPr>
              <w:t>本项目采购的产品属于中国政府采购网公布的《无线局域网认证产品政府采购清单》且在有效期内的</w:t>
            </w:r>
            <w:r>
              <w:rPr>
                <w:rFonts w:ascii="仿宋" w:hAnsi="仿宋" w:eastAsia="仿宋" w:cs="仿宋"/>
                <w:color w:val="auto"/>
                <w:sz w:val="28"/>
                <w:szCs w:val="28"/>
              </w:rPr>
              <w:t>,</w:t>
            </w:r>
            <w:r>
              <w:rPr>
                <w:rFonts w:hint="eastAsia" w:ascii="仿宋" w:hAnsi="仿宋" w:eastAsia="仿宋" w:cs="仿宋"/>
                <w:color w:val="auto"/>
                <w:kern w:val="0"/>
                <w:sz w:val="28"/>
                <w:szCs w:val="28"/>
              </w:rPr>
              <w:t>供应商在响应文件中可提供该产品政府采购清单对应页并加盖供应商单位公章（鲜章）</w:t>
            </w:r>
            <w:r>
              <w:rPr>
                <w:rFonts w:hint="eastAsia" w:ascii="仿宋" w:hAnsi="仿宋" w:eastAsia="仿宋" w:cs="仿宋"/>
                <w:color w:val="auto"/>
                <w:sz w:val="28"/>
                <w:szCs w:val="28"/>
              </w:rPr>
              <w:t>。</w:t>
            </w:r>
          </w:p>
        </w:tc>
      </w:tr>
      <w:tr w14:paraId="67100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B8CB9F">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8</w:t>
            </w:r>
          </w:p>
        </w:tc>
        <w:tc>
          <w:tcPr>
            <w:tcW w:w="2409" w:type="dxa"/>
            <w:vAlign w:val="center"/>
          </w:tcPr>
          <w:p w14:paraId="7B0CCFD6">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谈判情况公告</w:t>
            </w:r>
          </w:p>
        </w:tc>
        <w:tc>
          <w:tcPr>
            <w:tcW w:w="6084" w:type="dxa"/>
            <w:vAlign w:val="center"/>
          </w:tcPr>
          <w:p w14:paraId="584340DA">
            <w:pPr>
              <w:pStyle w:val="79"/>
              <w:snapToGrid w:val="0"/>
              <w:ind w:firstLine="280" w:firstLineChars="100"/>
              <w:jc w:val="both"/>
              <w:rPr>
                <w:rFonts w:ascii="仿宋" w:hAnsi="仿宋" w:eastAsia="仿宋" w:cs="Times New Roman"/>
                <w:color w:val="auto"/>
                <w:sz w:val="28"/>
                <w:szCs w:val="28"/>
                <w:lang w:val="zh-CN"/>
              </w:rPr>
            </w:pPr>
            <w:bookmarkStart w:id="15" w:name="PO_默认文件内容_15"/>
            <w:r>
              <w:rPr>
                <w:rFonts w:hint="eastAsia" w:ascii="仿宋" w:hAnsi="仿宋" w:eastAsia="仿宋" w:cs="仿宋"/>
                <w:color w:val="auto"/>
                <w:sz w:val="28"/>
                <w:szCs w:val="28"/>
              </w:rPr>
              <w:t>谈判结果等将</w:t>
            </w:r>
            <w:bookmarkEnd w:id="15"/>
            <w:r>
              <w:rPr>
                <w:rFonts w:hint="eastAsia" w:ascii="仿宋" w:hAnsi="仿宋" w:eastAsia="仿宋" w:cs="仿宋"/>
                <w:color w:val="auto"/>
                <w:sz w:val="28"/>
                <w:szCs w:val="28"/>
                <w:lang w:val="en-US" w:eastAsia="zh-CN"/>
              </w:rPr>
              <w:t>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hint="eastAsia" w:ascii="仿宋" w:hAnsi="仿宋" w:eastAsia="仿宋" w:cs="仿宋"/>
                <w:color w:val="auto"/>
                <w:sz w:val="28"/>
                <w:szCs w:val="28"/>
                <w:lang w:val="zh-CN"/>
              </w:rPr>
              <w:t>上予以公告。</w:t>
            </w:r>
          </w:p>
        </w:tc>
      </w:tr>
      <w:tr w14:paraId="1CD29B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128AAA4">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 xml:space="preserve">9 </w:t>
            </w:r>
          </w:p>
        </w:tc>
        <w:tc>
          <w:tcPr>
            <w:tcW w:w="2409" w:type="dxa"/>
            <w:vAlign w:val="center"/>
          </w:tcPr>
          <w:p w14:paraId="77F236DD">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保证金</w:t>
            </w:r>
          </w:p>
        </w:tc>
        <w:tc>
          <w:tcPr>
            <w:tcW w:w="6084" w:type="dxa"/>
            <w:vAlign w:val="center"/>
          </w:tcPr>
          <w:p w14:paraId="0F518605">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不收取谈判保证金。</w:t>
            </w:r>
          </w:p>
        </w:tc>
      </w:tr>
      <w:tr w14:paraId="313695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ED17095">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10</w:t>
            </w:r>
          </w:p>
        </w:tc>
        <w:tc>
          <w:tcPr>
            <w:tcW w:w="2409" w:type="dxa"/>
            <w:vAlign w:val="center"/>
          </w:tcPr>
          <w:p w14:paraId="085D8BE1">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履约保证金</w:t>
            </w:r>
          </w:p>
        </w:tc>
        <w:tc>
          <w:tcPr>
            <w:tcW w:w="6084" w:type="dxa"/>
            <w:vAlign w:val="center"/>
          </w:tcPr>
          <w:p w14:paraId="072B6854">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不收取履约保证金。</w:t>
            </w:r>
          </w:p>
        </w:tc>
      </w:tr>
      <w:tr w14:paraId="29337B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9A1A251">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11</w:t>
            </w:r>
          </w:p>
        </w:tc>
        <w:tc>
          <w:tcPr>
            <w:tcW w:w="2409" w:type="dxa"/>
            <w:vAlign w:val="center"/>
          </w:tcPr>
          <w:p w14:paraId="2AE34DC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文件咨询</w:t>
            </w:r>
          </w:p>
        </w:tc>
        <w:tc>
          <w:tcPr>
            <w:tcW w:w="6084" w:type="dxa"/>
            <w:vAlign w:val="center"/>
          </w:tcPr>
          <w:p w14:paraId="2609A948">
            <w:pPr>
              <w:pStyle w:val="79"/>
              <w:snapToGrid w:val="0"/>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蒲先生</w:t>
            </w:r>
          </w:p>
          <w:p w14:paraId="657388C6">
            <w:pPr>
              <w:pStyle w:val="79"/>
              <w:snapToGrid w:val="0"/>
              <w:ind w:firstLine="280" w:firstLineChars="100"/>
              <w:jc w:val="both"/>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15883597877</w:t>
            </w:r>
          </w:p>
        </w:tc>
      </w:tr>
      <w:tr w14:paraId="4AC63E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BC721A">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2</w:t>
            </w:r>
          </w:p>
        </w:tc>
        <w:tc>
          <w:tcPr>
            <w:tcW w:w="2409" w:type="dxa"/>
            <w:vAlign w:val="center"/>
          </w:tcPr>
          <w:p w14:paraId="04B712F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谈判过程、结果咨询</w:t>
            </w:r>
          </w:p>
        </w:tc>
        <w:tc>
          <w:tcPr>
            <w:tcW w:w="6084" w:type="dxa"/>
            <w:vAlign w:val="center"/>
          </w:tcPr>
          <w:p w14:paraId="663A7457">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66CD21A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092D95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5015BC8">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3</w:t>
            </w:r>
          </w:p>
        </w:tc>
        <w:tc>
          <w:tcPr>
            <w:tcW w:w="2409" w:type="dxa"/>
            <w:vAlign w:val="center"/>
          </w:tcPr>
          <w:p w14:paraId="55D65EFF">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成交通知书领取</w:t>
            </w:r>
          </w:p>
        </w:tc>
        <w:tc>
          <w:tcPr>
            <w:tcW w:w="6084" w:type="dxa"/>
            <w:vAlign w:val="center"/>
          </w:tcPr>
          <w:p w14:paraId="62642A09">
            <w:pPr>
              <w:pStyle w:val="79"/>
              <w:snapToGrid w:val="0"/>
              <w:ind w:left="71" w:leftChars="34"/>
              <w:rPr>
                <w:rFonts w:ascii="仿宋" w:hAnsi="仿宋" w:eastAsia="仿宋" w:cs="Times New Roman"/>
                <w:color w:val="auto"/>
                <w:sz w:val="28"/>
                <w:szCs w:val="28"/>
                <w:lang w:val="zh-CN"/>
              </w:rPr>
            </w:pPr>
            <w:r>
              <w:rPr>
                <w:rFonts w:hint="eastAsia" w:ascii="仿宋" w:hAnsi="仿宋" w:eastAsia="仿宋" w:cs="仿宋"/>
                <w:color w:val="auto"/>
                <w:sz w:val="28"/>
                <w:szCs w:val="28"/>
              </w:rPr>
              <w:t>请成交供应商凭有效身份证明证件到</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领取成交通知书。</w:t>
            </w:r>
          </w:p>
        </w:tc>
      </w:tr>
      <w:tr w14:paraId="6AB354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811C7D">
            <w:pPr>
              <w:pStyle w:val="79"/>
              <w:snapToGrid w:val="0"/>
              <w:ind w:right="23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2409" w:type="dxa"/>
            <w:vAlign w:val="center"/>
          </w:tcPr>
          <w:p w14:paraId="4146EDC5">
            <w:pPr>
              <w:pStyle w:val="79"/>
              <w:snapToGrid w:val="0"/>
              <w:ind w:left="38"/>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进口产品</w:t>
            </w:r>
            <w:r>
              <w:rPr>
                <w:rFonts w:hint="eastAsia" w:ascii="仿宋" w:hAnsi="仿宋" w:eastAsia="仿宋" w:cs="仿宋"/>
                <w:color w:val="auto"/>
                <w:sz w:val="28"/>
                <w:szCs w:val="28"/>
              </w:rPr>
              <w:t>（实质性要求）</w:t>
            </w:r>
          </w:p>
        </w:tc>
        <w:tc>
          <w:tcPr>
            <w:tcW w:w="6084" w:type="dxa"/>
            <w:vAlign w:val="center"/>
          </w:tcPr>
          <w:p w14:paraId="0CAD9A17">
            <w:pPr>
              <w:pStyle w:val="79"/>
              <w:snapToGrid w:val="0"/>
              <w:ind w:left="71" w:leftChars="34"/>
              <w:rPr>
                <w:rFonts w:hint="eastAsia" w:ascii="仿宋" w:hAnsi="仿宋" w:eastAsia="仿宋" w:cs="仿宋"/>
                <w:color w:val="auto"/>
                <w:sz w:val="28"/>
                <w:szCs w:val="28"/>
              </w:rPr>
            </w:pPr>
            <w:r>
              <w:rPr>
                <w:rFonts w:hint="eastAsia" w:ascii="仿宋" w:hAnsi="仿宋" w:eastAsia="仿宋" w:cs="仿宋"/>
                <w:color w:val="auto"/>
                <w:sz w:val="28"/>
                <w:szCs w:val="28"/>
              </w:rPr>
              <w:t>不允许</w:t>
            </w:r>
          </w:p>
        </w:tc>
      </w:tr>
      <w:tr w14:paraId="2F2EDE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0371CA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p>
        </w:tc>
        <w:tc>
          <w:tcPr>
            <w:tcW w:w="2409" w:type="dxa"/>
            <w:vAlign w:val="center"/>
          </w:tcPr>
          <w:p w14:paraId="50B2F1F0">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供应商询问</w:t>
            </w:r>
          </w:p>
        </w:tc>
        <w:tc>
          <w:tcPr>
            <w:tcW w:w="6084" w:type="dxa"/>
          </w:tcPr>
          <w:p w14:paraId="75502C7E">
            <w:pPr>
              <w:pStyle w:val="79"/>
              <w:snapToGrid w:val="0"/>
              <w:ind w:left="774" w:leftChars="102" w:hanging="560" w:hangingChars="2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47FFD4D3">
            <w:pPr>
              <w:pStyle w:val="79"/>
              <w:snapToGrid w:val="0"/>
              <w:ind w:firstLine="280" w:firstLineChars="100"/>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30FC0D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A80A3A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6</w:t>
            </w:r>
          </w:p>
        </w:tc>
        <w:tc>
          <w:tcPr>
            <w:tcW w:w="2409" w:type="dxa"/>
            <w:vAlign w:val="center"/>
          </w:tcPr>
          <w:p w14:paraId="09B750CF">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供应商质疑</w:t>
            </w:r>
          </w:p>
        </w:tc>
        <w:tc>
          <w:tcPr>
            <w:tcW w:w="6084" w:type="dxa"/>
            <w:vAlign w:val="center"/>
          </w:tcPr>
          <w:p w14:paraId="07883E70">
            <w:pPr>
              <w:pStyle w:val="79"/>
              <w:snapToGrid w:val="0"/>
              <w:ind w:left="10" w:leftChars="5" w:firstLine="518" w:firstLineChars="185"/>
              <w:jc w:val="both"/>
              <w:rPr>
                <w:rFonts w:ascii="仿宋" w:hAnsi="仿宋" w:eastAsia="仿宋" w:cs="仿宋"/>
                <w:color w:val="auto"/>
                <w:sz w:val="28"/>
                <w:szCs w:val="28"/>
                <w:lang w:val="zh-CN"/>
              </w:rPr>
            </w:pPr>
            <w:r>
              <w:rPr>
                <w:rFonts w:hint="eastAsia" w:ascii="仿宋" w:hAnsi="仿宋" w:eastAsia="仿宋" w:cs="仿宋"/>
                <w:color w:val="auto"/>
                <w:sz w:val="28"/>
                <w:szCs w:val="28"/>
              </w:rPr>
              <w:t>根据委托代理协议约定，对于谈判文件的询问及质疑由</w:t>
            </w:r>
            <w:r>
              <w:rPr>
                <w:rFonts w:hint="eastAsia" w:ascii="仿宋" w:hAnsi="仿宋" w:eastAsia="仿宋" w:cs="仿宋"/>
                <w:color w:val="auto"/>
                <w:sz w:val="28"/>
                <w:szCs w:val="28"/>
                <w:lang w:val="zh-CN"/>
              </w:rPr>
              <w:t>重庆大正建设工程经济技术有限公司</w:t>
            </w:r>
            <w:r>
              <w:rPr>
                <w:rFonts w:ascii="仿宋" w:hAnsi="仿宋" w:eastAsia="仿宋" w:cs="仿宋"/>
                <w:color w:val="auto"/>
                <w:sz w:val="28"/>
                <w:szCs w:val="28"/>
                <w:lang w:val="zh-CN"/>
              </w:rPr>
              <w:t>负责答复</w:t>
            </w:r>
            <w:r>
              <w:rPr>
                <w:rFonts w:hint="eastAsia" w:ascii="仿宋" w:hAnsi="仿宋" w:eastAsia="仿宋" w:cs="仿宋"/>
                <w:color w:val="auto"/>
                <w:sz w:val="28"/>
                <w:szCs w:val="28"/>
                <w:lang w:val="zh-CN"/>
              </w:rPr>
              <w:t>，对于采购过程及结果</w:t>
            </w:r>
            <w:r>
              <w:rPr>
                <w:rFonts w:hint="eastAsia" w:ascii="仿宋" w:hAnsi="仿宋" w:eastAsia="仿宋" w:cs="仿宋"/>
                <w:color w:val="auto"/>
                <w:sz w:val="28"/>
                <w:szCs w:val="28"/>
              </w:rPr>
              <w:t>的询问和质疑由</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lang w:val="zh-CN"/>
              </w:rPr>
              <w:t>负责答复</w:t>
            </w:r>
            <w:r>
              <w:rPr>
                <w:rFonts w:hint="eastAsia" w:ascii="仿宋" w:hAnsi="仿宋" w:eastAsia="仿宋" w:cs="仿宋"/>
                <w:color w:val="auto"/>
                <w:sz w:val="28"/>
                <w:szCs w:val="28"/>
              </w:rPr>
              <w:t>。</w:t>
            </w:r>
          </w:p>
          <w:p w14:paraId="63F801CC">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联系人：蒲先生。</w:t>
            </w:r>
          </w:p>
          <w:p w14:paraId="4AA9B512">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eastAsia="zh-CN"/>
              </w:rPr>
              <w:t>15883597877</w:t>
            </w:r>
            <w:r>
              <w:rPr>
                <w:rFonts w:hint="eastAsia" w:ascii="仿宋" w:hAnsi="仿宋" w:eastAsia="仿宋" w:cs="仿宋"/>
                <w:color w:val="auto"/>
                <w:sz w:val="28"/>
                <w:szCs w:val="28"/>
                <w:lang w:val="zh-CN"/>
              </w:rPr>
              <w:t>。</w:t>
            </w:r>
          </w:p>
          <w:p w14:paraId="24C9A0C7">
            <w:pPr>
              <w:pStyle w:val="79"/>
              <w:snapToGrid w:val="0"/>
              <w:ind w:left="10" w:leftChars="5" w:firstLine="518" w:firstLineChars="185"/>
              <w:rPr>
                <w:rFonts w:ascii="仿宋" w:hAnsi="仿宋" w:eastAsia="仿宋" w:cs="仿宋"/>
                <w:color w:val="auto"/>
                <w:sz w:val="28"/>
                <w:szCs w:val="28"/>
                <w:lang w:val="zh-CN"/>
              </w:rPr>
            </w:pPr>
            <w:r>
              <w:rPr>
                <w:rFonts w:hint="eastAsia" w:ascii="仿宋" w:hAnsi="仿宋" w:eastAsia="仿宋" w:cs="仿宋"/>
                <w:color w:val="auto"/>
                <w:sz w:val="28"/>
                <w:szCs w:val="28"/>
                <w:lang w:val="zh-CN"/>
              </w:rPr>
              <w:t>对采购文件提出质疑的，应当在获取采购文件或者采购文件公告期限届满之日起</w:t>
            </w:r>
            <w:r>
              <w:rPr>
                <w:rFonts w:hint="eastAsia" w:ascii="仿宋" w:hAnsi="仿宋" w:eastAsia="仿宋" w:cs="仿宋"/>
                <w:color w:val="auto"/>
                <w:sz w:val="28"/>
                <w:szCs w:val="28"/>
              </w:rPr>
              <w:t>七个工作日内提出；</w:t>
            </w:r>
            <w:r>
              <w:rPr>
                <w:rFonts w:hint="eastAsia" w:ascii="仿宋" w:hAnsi="仿宋" w:eastAsia="仿宋" w:cs="仿宋"/>
                <w:color w:val="auto"/>
                <w:sz w:val="28"/>
                <w:szCs w:val="28"/>
                <w:lang w:val="zh-CN"/>
              </w:rPr>
              <w:t>对采购过程提出质疑时间为各采购程序环节结束之日起七个工作日内；对采购结果提出质疑时间为中标结果公告发布次日起七个工作日内。</w:t>
            </w:r>
          </w:p>
          <w:p w14:paraId="59FF5531">
            <w:pPr>
              <w:pStyle w:val="79"/>
              <w:snapToGrid w:val="0"/>
              <w:ind w:left="10" w:leftChars="5" w:firstLine="238" w:firstLineChars="85"/>
              <w:rPr>
                <w:rFonts w:ascii="仿宋" w:hAnsi="仿宋" w:eastAsia="仿宋" w:cs="仿宋"/>
                <w:color w:val="auto"/>
                <w:sz w:val="28"/>
                <w:szCs w:val="28"/>
                <w:lang w:val="zh-CN"/>
              </w:rPr>
            </w:pPr>
            <w:r>
              <w:rPr>
                <w:rFonts w:hint="eastAsia" w:ascii="仿宋" w:hAnsi="仿宋" w:eastAsia="仿宋" w:cs="仿宋"/>
                <w:bCs/>
                <w:color w:val="auto"/>
                <w:sz w:val="28"/>
                <w:szCs w:val="28"/>
                <w:lang w:val="zh-CN"/>
              </w:rPr>
              <w:t>注：1</w:t>
            </w:r>
            <w:r>
              <w:rPr>
                <w:rFonts w:hint="eastAsia" w:ascii="仿宋" w:hAnsi="仿宋" w:eastAsia="仿宋" w:cs="仿宋"/>
                <w:bCs/>
                <w:color w:val="auto"/>
                <w:sz w:val="28"/>
                <w:szCs w:val="28"/>
              </w:rPr>
              <w:t>.</w:t>
            </w:r>
            <w:r>
              <w:rPr>
                <w:rFonts w:hint="eastAsia" w:ascii="仿宋" w:hAnsi="仿宋" w:eastAsia="仿宋" w:cs="仿宋"/>
                <w:color w:val="auto"/>
                <w:sz w:val="28"/>
                <w:szCs w:val="28"/>
                <w:lang w:val="zh-CN"/>
              </w:rPr>
              <w:t>根据《中华人民共和国政府采购法》的规定，供应商质疑不得超出谈判文件、采购过程、采购结果的范围。</w:t>
            </w:r>
          </w:p>
          <w:p w14:paraId="30FFC36A">
            <w:pPr>
              <w:pStyle w:val="79"/>
              <w:snapToGrid w:val="0"/>
              <w:ind w:firstLine="11" w:firstLineChars="4"/>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根据《政府采购质疑和投诉办法》的规定，供应商应在法定质疑期内一次性提出针对同一采购程序环节的质疑，否则，不予受理。</w:t>
            </w:r>
          </w:p>
        </w:tc>
      </w:tr>
      <w:tr w14:paraId="3BFEFE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78ACF0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7</w:t>
            </w:r>
          </w:p>
        </w:tc>
        <w:tc>
          <w:tcPr>
            <w:tcW w:w="2409" w:type="dxa"/>
            <w:vAlign w:val="center"/>
          </w:tcPr>
          <w:p w14:paraId="7833B9C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供应商投诉</w:t>
            </w:r>
          </w:p>
        </w:tc>
        <w:tc>
          <w:tcPr>
            <w:tcW w:w="6084" w:type="dxa"/>
            <w:vAlign w:val="center"/>
          </w:tcPr>
          <w:p w14:paraId="1FB0850A">
            <w:pPr>
              <w:pStyle w:val="79"/>
              <w:snapToGrid w:val="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投诉受理单位：四川川信致远资产经营管理有限公司。</w:t>
            </w:r>
          </w:p>
          <w:p w14:paraId="3B0E623C">
            <w:pPr>
              <w:snapToGrid w:val="0"/>
              <w:rPr>
                <w:rFonts w:hint="eastAsia" w:ascii="仿宋" w:hAnsi="仿宋" w:eastAsia="仿宋"/>
                <w:color w:val="auto"/>
                <w:sz w:val="28"/>
                <w:szCs w:val="28"/>
                <w:lang w:val="zh-CN" w:eastAsia="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val="en-US" w:eastAsia="zh-CN"/>
              </w:rPr>
              <w:t>18011165890</w:t>
            </w:r>
            <w:r>
              <w:rPr>
                <w:rFonts w:hint="eastAsia" w:ascii="仿宋" w:hAnsi="仿宋" w:eastAsia="仿宋" w:cs="仿宋"/>
                <w:bCs/>
                <w:color w:val="auto"/>
                <w:sz w:val="28"/>
                <w:szCs w:val="28"/>
                <w:lang w:val="en-US" w:eastAsia="zh-CN"/>
              </w:rPr>
              <w:t xml:space="preserve"> </w:t>
            </w:r>
          </w:p>
          <w:p w14:paraId="65225A7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注：根据《中华人民共和国政府采购法》及其他有关等规定，供应商投诉事项不得超出已质疑事项的范围。</w:t>
            </w:r>
          </w:p>
        </w:tc>
      </w:tr>
      <w:tr w14:paraId="099636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BA7BFC1">
            <w:pPr>
              <w:pStyle w:val="79"/>
              <w:snapToGrid w:val="0"/>
              <w:ind w:right="230"/>
              <w:jc w:val="center"/>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8</w:t>
            </w:r>
          </w:p>
        </w:tc>
        <w:tc>
          <w:tcPr>
            <w:tcW w:w="2409" w:type="dxa"/>
            <w:vAlign w:val="center"/>
          </w:tcPr>
          <w:p w14:paraId="2711DD18">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代理服务费</w:t>
            </w:r>
          </w:p>
        </w:tc>
        <w:tc>
          <w:tcPr>
            <w:tcW w:w="6084" w:type="dxa"/>
            <w:vAlign w:val="center"/>
          </w:tcPr>
          <w:p w14:paraId="04AF405B">
            <w:pPr>
              <w:pStyle w:val="79"/>
              <w:snapToGrid w:val="0"/>
              <w:ind w:left="151" w:leftChars="72"/>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本项目按照成本加合理利润方式确定代理服务费，参照“招标代理服务费收费管理暂行办法”—计价格【2002】1980号文件</w:t>
            </w:r>
            <w:r>
              <w:rPr>
                <w:rFonts w:hint="eastAsia" w:ascii="仿宋" w:hAnsi="仿宋" w:eastAsia="仿宋" w:cs="仿宋"/>
                <w:color w:val="auto"/>
                <w:sz w:val="28"/>
                <w:szCs w:val="28"/>
                <w:lang w:val="en-US" w:eastAsia="zh-CN"/>
              </w:rPr>
              <w:t>下浮20%收取</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在成交供应商领取成交通知书时，</w:t>
            </w:r>
            <w:r>
              <w:rPr>
                <w:rFonts w:ascii="仿宋" w:hAnsi="仿宋" w:eastAsia="仿宋" w:cs="仿宋"/>
                <w:color w:val="auto"/>
                <w:sz w:val="28"/>
                <w:szCs w:val="28"/>
                <w:lang w:val="zh-CN"/>
              </w:rPr>
              <w:t>一次性支付给采购代理机构</w:t>
            </w:r>
            <w:r>
              <w:rPr>
                <w:rFonts w:hint="eastAsia" w:ascii="仿宋" w:hAnsi="仿宋" w:eastAsia="仿宋" w:cs="仿宋"/>
                <w:color w:val="auto"/>
                <w:sz w:val="28"/>
                <w:szCs w:val="28"/>
                <w:lang w:val="zh-CN"/>
              </w:rPr>
              <w:t>。</w:t>
            </w:r>
          </w:p>
        </w:tc>
      </w:tr>
      <w:tr w14:paraId="1B914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2D173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9</w:t>
            </w:r>
          </w:p>
        </w:tc>
        <w:tc>
          <w:tcPr>
            <w:tcW w:w="2409" w:type="dxa"/>
            <w:vAlign w:val="center"/>
          </w:tcPr>
          <w:p w14:paraId="442D6816">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声明承诺提醒</w:t>
            </w:r>
          </w:p>
        </w:tc>
        <w:tc>
          <w:tcPr>
            <w:tcW w:w="6084" w:type="dxa"/>
            <w:vAlign w:val="center"/>
          </w:tcPr>
          <w:p w14:paraId="244AEAE0">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473DB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E80007E">
            <w:pPr>
              <w:pStyle w:val="79"/>
              <w:snapToGrid w:val="0"/>
              <w:ind w:right="230"/>
              <w:jc w:val="center"/>
              <w:rPr>
                <w:rFonts w:hint="default" w:ascii="仿宋" w:hAnsi="仿宋" w:eastAsia="仿宋" w:cs="Times New Roman"/>
                <w:color w:val="auto"/>
                <w:sz w:val="28"/>
                <w:szCs w:val="28"/>
                <w:lang w:val="en-US" w:eastAsia="zh-CN"/>
              </w:rPr>
            </w:pPr>
            <w:r>
              <w:rPr>
                <w:rFonts w:hint="eastAsia" w:ascii="仿宋" w:hAnsi="仿宋" w:eastAsia="仿宋" w:cs="仿宋"/>
                <w:color w:val="auto"/>
                <w:sz w:val="28"/>
                <w:szCs w:val="28"/>
                <w:lang w:val="en-US" w:eastAsia="zh-CN"/>
              </w:rPr>
              <w:t>20</w:t>
            </w:r>
          </w:p>
        </w:tc>
        <w:tc>
          <w:tcPr>
            <w:tcW w:w="2409" w:type="dxa"/>
            <w:vAlign w:val="center"/>
          </w:tcPr>
          <w:p w14:paraId="2C45C61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中小企业政府采购信用融资</w:t>
            </w:r>
          </w:p>
        </w:tc>
        <w:tc>
          <w:tcPr>
            <w:tcW w:w="6084" w:type="dxa"/>
            <w:vAlign w:val="center"/>
          </w:tcPr>
          <w:p w14:paraId="703AAF37">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参加本次采购活动成交的中小企业无需提供财产抵押或第三方担保，凭借政府采购合同可向金融机构申请融资。相关政策规定内容请在“四川政府采购网”查询。</w:t>
            </w:r>
          </w:p>
        </w:tc>
      </w:tr>
      <w:tr w14:paraId="4F6D7D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14:paraId="5CEEB0B4">
            <w:pPr>
              <w:pStyle w:val="79"/>
              <w:snapToGrid w:val="0"/>
              <w:ind w:right="23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1</w:t>
            </w:r>
          </w:p>
        </w:tc>
        <w:tc>
          <w:tcPr>
            <w:tcW w:w="2409" w:type="dxa"/>
            <w:tcBorders>
              <w:bottom w:val="single" w:color="auto" w:sz="18" w:space="0"/>
            </w:tcBorders>
            <w:vAlign w:val="center"/>
          </w:tcPr>
          <w:p w14:paraId="76FB14A9">
            <w:pPr>
              <w:pStyle w:val="79"/>
              <w:snapToGrid w:val="0"/>
              <w:ind w:left="96"/>
              <w:jc w:val="center"/>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p>
        </w:tc>
        <w:tc>
          <w:tcPr>
            <w:tcW w:w="6084" w:type="dxa"/>
            <w:tcBorders>
              <w:bottom w:val="single" w:color="auto" w:sz="18" w:space="0"/>
            </w:tcBorders>
            <w:vAlign w:val="center"/>
          </w:tcPr>
          <w:p w14:paraId="075D68E5">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r>
              <w:rPr>
                <w:rFonts w:hint="eastAsia" w:ascii="仿宋" w:hAnsi="仿宋" w:eastAsia="仿宋" w:cs="仿宋"/>
                <w:b/>
                <w:bCs/>
                <w:color w:val="auto"/>
                <w:sz w:val="28"/>
                <w:szCs w:val="28"/>
                <w:u w:val="single"/>
                <w:lang w:val="en-US" w:eastAsia="zh-CN"/>
              </w:rPr>
              <w:t>批发业</w:t>
            </w:r>
            <w:r>
              <w:rPr>
                <w:rFonts w:hint="eastAsia" w:ascii="仿宋" w:hAnsi="仿宋" w:eastAsia="仿宋" w:cs="仿宋"/>
                <w:color w:val="auto"/>
                <w:sz w:val="28"/>
                <w:szCs w:val="28"/>
                <w:lang w:val="zh-CN"/>
              </w:rPr>
              <w:t>。</w:t>
            </w:r>
          </w:p>
          <w:p w14:paraId="7DFF4ECC">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bl>
    <w:p w14:paraId="2BCFF322">
      <w:pPr>
        <w:pStyle w:val="3"/>
        <w:keepNext w:val="0"/>
        <w:keepLines w:val="0"/>
        <w:spacing w:before="0" w:after="0" w:line="360" w:lineRule="auto"/>
        <w:jc w:val="center"/>
        <w:rPr>
          <w:rFonts w:ascii="仿宋" w:hAnsi="仿宋" w:eastAsia="仿宋" w:cs="仿宋"/>
          <w:color w:val="auto"/>
          <w:sz w:val="28"/>
          <w:szCs w:val="28"/>
        </w:rPr>
      </w:pPr>
    </w:p>
    <w:p w14:paraId="5169CFE4">
      <w:pPr>
        <w:pStyle w:val="3"/>
        <w:keepNext w:val="0"/>
        <w:keepLines w:val="0"/>
        <w:spacing w:before="0" w:after="0" w:line="360" w:lineRule="auto"/>
        <w:jc w:val="center"/>
        <w:rPr>
          <w:rFonts w:ascii="仿宋" w:hAnsi="仿宋" w:eastAsia="仿宋" w:cs="仿宋"/>
          <w:color w:val="auto"/>
        </w:rPr>
      </w:pPr>
    </w:p>
    <w:p w14:paraId="45414565">
      <w:pPr>
        <w:pStyle w:val="3"/>
        <w:keepNext w:val="0"/>
        <w:keepLines w:val="0"/>
        <w:spacing w:before="0" w:after="0" w:line="400" w:lineRule="exact"/>
        <w:jc w:val="center"/>
        <w:rPr>
          <w:rFonts w:ascii="黑体"/>
          <w:b w:val="0"/>
          <w:color w:val="auto"/>
          <w:sz w:val="44"/>
          <w:szCs w:val="44"/>
        </w:rPr>
      </w:pPr>
      <w:bookmarkStart w:id="16" w:name="_Toc89075878"/>
      <w:bookmarkStart w:id="17" w:name="_Toc183582231"/>
      <w:bookmarkStart w:id="18" w:name="_Toc217446056"/>
      <w:bookmarkStart w:id="19" w:name="_Toc77400782"/>
      <w:bookmarkStart w:id="20" w:name="_Toc183682368"/>
      <w:bookmarkStart w:id="21" w:name="PO_默认文件内容_26"/>
      <w:r>
        <w:rPr>
          <w:rFonts w:hint="eastAsia" w:ascii="黑体"/>
          <w:bCs w:val="0"/>
          <w:color w:val="auto"/>
        </w:rPr>
        <w:br w:type="page"/>
      </w:r>
      <w:r>
        <w:rPr>
          <w:rFonts w:hint="eastAsia" w:ascii="黑体"/>
          <w:b w:val="0"/>
          <w:color w:val="auto"/>
          <w:sz w:val="44"/>
          <w:szCs w:val="44"/>
        </w:rPr>
        <w:t>二、总  则</w:t>
      </w:r>
    </w:p>
    <w:p w14:paraId="14EC3DFC">
      <w:pPr>
        <w:rPr>
          <w:color w:val="auto"/>
        </w:rPr>
      </w:pPr>
      <w:bookmarkStart w:id="22" w:name="_Toc183582205"/>
      <w:bookmarkStart w:id="23" w:name="_Toc183682342"/>
      <w:bookmarkStart w:id="24" w:name="_Toc217446034"/>
    </w:p>
    <w:p w14:paraId="6D391C33">
      <w:pPr>
        <w:ind w:firstLine="643"/>
        <w:rPr>
          <w:color w:val="auto"/>
        </w:rPr>
      </w:pPr>
    </w:p>
    <w:bookmarkEnd w:id="22"/>
    <w:bookmarkEnd w:id="23"/>
    <w:bookmarkEnd w:id="24"/>
    <w:p w14:paraId="1960DE9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适用范围</w:t>
      </w:r>
    </w:p>
    <w:p w14:paraId="13BF5EF2">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1 本谈判文件仅适用于本次谈判所叙述的货物/服务采购。</w:t>
      </w:r>
    </w:p>
    <w:p w14:paraId="4FE84361">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1.2 本谈判文件的解释权归采购人和采购代理机构所有。</w:t>
      </w:r>
    </w:p>
    <w:p w14:paraId="59DE7FE4">
      <w:pPr>
        <w:pStyle w:val="4"/>
        <w:keepNext w:val="0"/>
        <w:keepLines w:val="0"/>
        <w:spacing w:before="0" w:after="0" w:line="400" w:lineRule="exact"/>
        <w:rPr>
          <w:rFonts w:ascii="宋体" w:hAnsi="宋体"/>
          <w:color w:val="auto"/>
          <w:sz w:val="28"/>
          <w:szCs w:val="28"/>
        </w:rPr>
      </w:pPr>
      <w:bookmarkStart w:id="25" w:name="_Toc217446035"/>
      <w:bookmarkStart w:id="26" w:name="_Toc183582206"/>
      <w:bookmarkStart w:id="27" w:name="_Toc183682343"/>
    </w:p>
    <w:p w14:paraId="0F603A7B">
      <w:pPr>
        <w:pStyle w:val="4"/>
        <w:keepNext w:val="0"/>
        <w:keepLines w:val="0"/>
        <w:spacing w:before="0" w:after="0" w:line="400" w:lineRule="exact"/>
        <w:ind w:firstLine="560" w:firstLineChars="200"/>
        <w:rPr>
          <w:rFonts w:ascii="宋体" w:hAnsi="宋体"/>
          <w:color w:val="auto"/>
          <w:sz w:val="28"/>
          <w:szCs w:val="28"/>
        </w:rPr>
      </w:pPr>
      <w:r>
        <w:rPr>
          <w:rFonts w:ascii="宋体" w:hAnsi="宋体"/>
          <w:color w:val="auto"/>
          <w:sz w:val="28"/>
          <w:szCs w:val="28"/>
        </w:rPr>
        <w:t>2.</w:t>
      </w:r>
      <w:bookmarkEnd w:id="25"/>
      <w:bookmarkEnd w:id="26"/>
      <w:bookmarkEnd w:id="27"/>
      <w:r>
        <w:rPr>
          <w:rFonts w:hint="eastAsia" w:ascii="宋体" w:hAnsi="宋体"/>
          <w:color w:val="auto"/>
          <w:sz w:val="28"/>
          <w:szCs w:val="28"/>
        </w:rPr>
        <w:t>采购主体</w:t>
      </w:r>
    </w:p>
    <w:p w14:paraId="3D5E349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1本次谈判的采购人是</w:t>
      </w:r>
      <w:r>
        <w:rPr>
          <w:rFonts w:hint="eastAsia" w:ascii="宋体" w:hAnsi="宋体"/>
          <w:bCs/>
          <w:color w:val="auto"/>
          <w:sz w:val="28"/>
          <w:szCs w:val="28"/>
          <w:u w:val="single"/>
          <w:lang w:val="en-US" w:eastAsia="zh-CN"/>
        </w:rPr>
        <w:t>四川川信致远资产经营管理有限公司</w:t>
      </w:r>
      <w:r>
        <w:rPr>
          <w:rFonts w:hint="eastAsia" w:ascii="宋体" w:hAnsi="宋体"/>
          <w:color w:val="auto"/>
          <w:sz w:val="28"/>
          <w:szCs w:val="28"/>
        </w:rPr>
        <w:t>。</w:t>
      </w:r>
    </w:p>
    <w:p w14:paraId="678F745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2本次谈判的采购代理机构是</w:t>
      </w:r>
      <w:r>
        <w:rPr>
          <w:rFonts w:hint="eastAsia" w:ascii="宋体" w:hAnsi="宋体"/>
          <w:bCs/>
          <w:color w:val="auto"/>
          <w:sz w:val="28"/>
          <w:szCs w:val="28"/>
          <w:u w:val="single"/>
          <w:lang w:eastAsia="zh-CN"/>
        </w:rPr>
        <w:t>重庆大正建设工程经济技术有限公司</w:t>
      </w:r>
      <w:r>
        <w:rPr>
          <w:rFonts w:hint="eastAsia" w:ascii="宋体" w:hAnsi="宋体"/>
          <w:color w:val="auto"/>
          <w:sz w:val="28"/>
          <w:szCs w:val="28"/>
        </w:rPr>
        <w:t>。</w:t>
      </w:r>
    </w:p>
    <w:p w14:paraId="377AB2C6">
      <w:pPr>
        <w:pStyle w:val="4"/>
        <w:keepNext w:val="0"/>
        <w:keepLines w:val="0"/>
        <w:spacing w:before="0" w:after="0" w:line="400" w:lineRule="exact"/>
        <w:ind w:firstLine="560" w:firstLineChars="200"/>
        <w:rPr>
          <w:rFonts w:ascii="宋体" w:hAnsi="宋体"/>
          <w:color w:val="auto"/>
          <w:sz w:val="28"/>
          <w:szCs w:val="28"/>
        </w:rPr>
      </w:pPr>
    </w:p>
    <w:p w14:paraId="2D90E867">
      <w:pPr>
        <w:pStyle w:val="4"/>
        <w:keepNext w:val="0"/>
        <w:keepLines w:val="0"/>
        <w:spacing w:before="0" w:after="0" w:line="400" w:lineRule="exact"/>
        <w:ind w:firstLine="560" w:firstLineChars="200"/>
        <w:rPr>
          <w:rFonts w:ascii="宋体" w:hAnsi="宋体"/>
          <w:color w:val="auto"/>
          <w:sz w:val="28"/>
          <w:szCs w:val="28"/>
        </w:rPr>
      </w:pPr>
      <w:bookmarkStart w:id="28" w:name="_Toc183682344"/>
      <w:bookmarkStart w:id="29" w:name="_Toc183582207"/>
      <w:bookmarkStart w:id="30" w:name="_Toc217446036"/>
      <w:bookmarkStart w:id="31" w:name="_Toc217390843"/>
      <w:r>
        <w:rPr>
          <w:rFonts w:ascii="宋体" w:hAnsi="宋体"/>
          <w:color w:val="auto"/>
          <w:sz w:val="28"/>
          <w:szCs w:val="28"/>
        </w:rPr>
        <w:t>3.</w:t>
      </w:r>
      <w:r>
        <w:rPr>
          <w:rFonts w:hint="eastAsia" w:ascii="宋体" w:hAnsi="宋体"/>
          <w:color w:val="auto"/>
          <w:sz w:val="28"/>
          <w:szCs w:val="28"/>
        </w:rPr>
        <w:t xml:space="preserve"> 合格</w:t>
      </w:r>
      <w:bookmarkEnd w:id="28"/>
      <w:bookmarkEnd w:id="29"/>
      <w:bookmarkEnd w:id="30"/>
      <w:bookmarkEnd w:id="31"/>
      <w:r>
        <w:rPr>
          <w:rFonts w:hint="eastAsia" w:ascii="宋体" w:hAnsi="宋体"/>
          <w:color w:val="auto"/>
          <w:sz w:val="28"/>
          <w:szCs w:val="28"/>
        </w:rPr>
        <w:t>供应商（实质性要求）</w:t>
      </w:r>
    </w:p>
    <w:p w14:paraId="1F3B23CB">
      <w:pPr>
        <w:tabs>
          <w:tab w:val="left" w:pos="7665"/>
        </w:tabs>
        <w:spacing w:line="400" w:lineRule="exact"/>
        <w:rPr>
          <w:rFonts w:ascii="宋体" w:hAnsi="宋体"/>
          <w:color w:val="auto"/>
          <w:sz w:val="28"/>
          <w:szCs w:val="28"/>
        </w:rPr>
      </w:pPr>
      <w:r>
        <w:rPr>
          <w:rFonts w:hint="eastAsia" w:ascii="宋体" w:hAnsi="宋体"/>
          <w:b/>
          <w:color w:val="auto"/>
          <w:sz w:val="28"/>
          <w:szCs w:val="28"/>
        </w:rPr>
        <w:t xml:space="preserve">    </w:t>
      </w:r>
      <w:r>
        <w:rPr>
          <w:rFonts w:hint="eastAsia" w:ascii="宋体" w:hAnsi="宋体"/>
          <w:color w:val="auto"/>
          <w:sz w:val="28"/>
          <w:szCs w:val="28"/>
        </w:rPr>
        <w:t>合格供应商应具备以下条件：</w:t>
      </w:r>
    </w:p>
    <w:p w14:paraId="29AD4B95">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3.1 具备法律法规和本采购文件规定的资格条件；</w:t>
      </w:r>
    </w:p>
    <w:p w14:paraId="6050E9E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3.2 不属于禁止参加本项目采购活动的供应商；</w:t>
      </w:r>
    </w:p>
    <w:p w14:paraId="53D68FBE">
      <w:pPr>
        <w:tabs>
          <w:tab w:val="left" w:pos="7665"/>
        </w:tabs>
        <w:spacing w:line="400" w:lineRule="exact"/>
        <w:ind w:firstLine="560" w:firstLineChars="200"/>
        <w:rPr>
          <w:rFonts w:ascii="宋体" w:hAnsi="宋体"/>
          <w:color w:val="auto"/>
          <w:spacing w:val="-4"/>
          <w:sz w:val="28"/>
          <w:szCs w:val="28"/>
        </w:rPr>
      </w:pPr>
      <w:r>
        <w:rPr>
          <w:rFonts w:hint="eastAsia" w:ascii="宋体" w:hAnsi="宋体"/>
          <w:color w:val="auto"/>
          <w:sz w:val="28"/>
          <w:szCs w:val="28"/>
        </w:rPr>
        <w:t>3.3按规定获取了谈判文件，属于实质性参加政府采购活动的供应商。</w:t>
      </w:r>
    </w:p>
    <w:p w14:paraId="154C22EA">
      <w:pPr>
        <w:pStyle w:val="4"/>
        <w:keepNext w:val="0"/>
        <w:keepLines w:val="0"/>
        <w:spacing w:before="0" w:after="0" w:line="400" w:lineRule="exact"/>
        <w:ind w:firstLine="560" w:firstLineChars="200"/>
        <w:rPr>
          <w:rFonts w:ascii="宋体" w:hAnsi="宋体"/>
          <w:color w:val="auto"/>
          <w:sz w:val="28"/>
          <w:szCs w:val="28"/>
        </w:rPr>
      </w:pPr>
      <w:bookmarkStart w:id="32" w:name="_Toc183582208"/>
      <w:bookmarkStart w:id="33" w:name="_Toc183682345"/>
      <w:bookmarkStart w:id="34" w:name="_Toc217446037"/>
    </w:p>
    <w:p w14:paraId="4C6EFB7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4. 谈判费用</w:t>
      </w:r>
      <w:bookmarkEnd w:id="32"/>
      <w:bookmarkEnd w:id="33"/>
      <w:bookmarkEnd w:id="34"/>
      <w:r>
        <w:rPr>
          <w:rFonts w:hint="eastAsia" w:ascii="宋体" w:hAnsi="宋体"/>
          <w:color w:val="auto"/>
          <w:sz w:val="28"/>
          <w:szCs w:val="28"/>
        </w:rPr>
        <w:t>（实质性要求）</w:t>
      </w:r>
    </w:p>
    <w:p w14:paraId="72B2CDF5">
      <w:pPr>
        <w:tabs>
          <w:tab w:val="left" w:pos="7665"/>
        </w:tabs>
        <w:spacing w:line="400" w:lineRule="exact"/>
        <w:ind w:firstLine="480"/>
        <w:rPr>
          <w:rFonts w:ascii="宋体" w:hAnsi="宋体"/>
          <w:color w:val="auto"/>
          <w:sz w:val="28"/>
          <w:szCs w:val="28"/>
        </w:rPr>
      </w:pPr>
      <w:r>
        <w:rPr>
          <w:rFonts w:hint="eastAsia" w:ascii="宋体" w:hAnsi="宋体"/>
          <w:color w:val="auto"/>
          <w:sz w:val="28"/>
          <w:szCs w:val="28"/>
        </w:rPr>
        <w:t>供应商应自行承担参加谈判活动的全部费用。</w:t>
      </w:r>
    </w:p>
    <w:p w14:paraId="0544F1C8">
      <w:pPr>
        <w:rPr>
          <w:color w:val="auto"/>
          <w:sz w:val="28"/>
          <w:szCs w:val="28"/>
        </w:rPr>
      </w:pPr>
    </w:p>
    <w:p w14:paraId="422CB7DF">
      <w:pPr>
        <w:pStyle w:val="164"/>
        <w:spacing w:line="400" w:lineRule="exact"/>
        <w:ind w:left="1" w:firstLine="560" w:firstLineChars="200"/>
        <w:rPr>
          <w:rFonts w:hAnsi="宋体"/>
          <w:b/>
          <w:color w:val="auto"/>
          <w:sz w:val="28"/>
          <w:szCs w:val="28"/>
        </w:rPr>
      </w:pPr>
      <w:r>
        <w:rPr>
          <w:rFonts w:hint="eastAsia" w:hAnsi="宋体"/>
          <w:b/>
          <w:color w:val="auto"/>
          <w:sz w:val="28"/>
          <w:szCs w:val="28"/>
        </w:rPr>
        <w:t>5.充分、公平竞争保障措施（实质性要求）</w:t>
      </w:r>
    </w:p>
    <w:p w14:paraId="41D3B737">
      <w:pPr>
        <w:pStyle w:val="164"/>
        <w:spacing w:line="400" w:lineRule="exact"/>
        <w:ind w:left="1" w:firstLine="560" w:firstLineChars="200"/>
        <w:rPr>
          <w:rFonts w:hAnsi="宋体"/>
          <w:color w:val="auto"/>
          <w:sz w:val="28"/>
          <w:szCs w:val="28"/>
        </w:rPr>
      </w:pPr>
      <w:r>
        <w:rPr>
          <w:rFonts w:hint="eastAsia" w:hAnsi="宋体"/>
          <w:color w:val="auto"/>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4ED7965">
      <w:pPr>
        <w:pStyle w:val="164"/>
        <w:spacing w:line="400" w:lineRule="exact"/>
        <w:ind w:left="1" w:firstLine="560" w:firstLineChars="200"/>
        <w:rPr>
          <w:rFonts w:hAnsi="宋体"/>
          <w:color w:val="auto"/>
          <w:sz w:val="28"/>
          <w:szCs w:val="28"/>
        </w:rPr>
      </w:pPr>
      <w:r>
        <w:rPr>
          <w:rFonts w:hint="eastAsia" w:hAnsi="宋体"/>
          <w:color w:val="auto"/>
          <w:sz w:val="28"/>
          <w:szCs w:val="28"/>
        </w:rPr>
        <w:t>5.2利害关系授权代表处理。两家以上的供应商不得在同一合同项下的采购项目中，委托同一个自然人、同一家庭的人员、同一单位的人员作为其授权代表，否则，其响应文件作为无效处理。</w:t>
      </w:r>
    </w:p>
    <w:p w14:paraId="575AB277">
      <w:pPr>
        <w:pStyle w:val="164"/>
        <w:spacing w:line="400" w:lineRule="exact"/>
        <w:ind w:left="1" w:firstLine="560" w:firstLineChars="200"/>
        <w:rPr>
          <w:rFonts w:hAnsi="宋体"/>
          <w:color w:val="auto"/>
          <w:sz w:val="28"/>
          <w:szCs w:val="28"/>
        </w:rPr>
      </w:pPr>
      <w:r>
        <w:rPr>
          <w:rFonts w:hint="eastAsia" w:hAnsi="宋体"/>
          <w:color w:val="auto"/>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D29D015">
      <w:pPr>
        <w:pStyle w:val="164"/>
        <w:spacing w:line="400" w:lineRule="exact"/>
        <w:ind w:left="1" w:firstLine="560" w:firstLineChars="200"/>
        <w:rPr>
          <w:rFonts w:hAnsi="宋体"/>
          <w:color w:val="auto"/>
          <w:sz w:val="28"/>
          <w:szCs w:val="28"/>
        </w:rPr>
      </w:pPr>
      <w:r>
        <w:rPr>
          <w:rFonts w:hint="eastAsia" w:hAnsi="宋体"/>
          <w:color w:val="auto"/>
          <w:sz w:val="28"/>
          <w:szCs w:val="28"/>
        </w:rPr>
        <w:t>5.4提供相同品牌产品处理。提供相同品牌产品且通过资格审查的不同供应商参加同一合同项下采购项目的，按一家供应商计算，最后报价最低的同品牌供应商获得成交供应商推荐资格；最后报价相同的，由采购人委托谈判小组自主采取公平、择优的方式确定一个供应商获得成交供应商推荐资格，其他同品牌供应商不作为成交供应商候选人。</w:t>
      </w:r>
    </w:p>
    <w:p w14:paraId="4990CC61">
      <w:pPr>
        <w:pStyle w:val="164"/>
        <w:spacing w:line="400" w:lineRule="exact"/>
        <w:ind w:left="1" w:firstLine="560" w:firstLineChars="200"/>
        <w:rPr>
          <w:rFonts w:hAnsi="宋体"/>
          <w:color w:val="auto"/>
          <w:sz w:val="28"/>
          <w:szCs w:val="28"/>
        </w:rPr>
      </w:pPr>
      <w:r>
        <w:rPr>
          <w:rFonts w:hint="eastAsia" w:hAnsi="宋体"/>
          <w:color w:val="auto"/>
          <w:sz w:val="28"/>
          <w:szCs w:val="28"/>
        </w:rPr>
        <w:t>非单一产品采购项目中，多家供应商提供的部分或所有核心产品品牌相同的，视为提供相同品牌产品。本采购项目核心产品为：/。</w:t>
      </w:r>
    </w:p>
    <w:p w14:paraId="4CED63C3">
      <w:pPr>
        <w:pStyle w:val="164"/>
        <w:spacing w:line="400" w:lineRule="exact"/>
        <w:ind w:left="1" w:firstLine="560" w:firstLineChars="200"/>
        <w:rPr>
          <w:rFonts w:hAnsi="宋体"/>
          <w:color w:val="auto"/>
          <w:sz w:val="28"/>
          <w:szCs w:val="28"/>
        </w:rPr>
      </w:pPr>
      <w:r>
        <w:rPr>
          <w:rFonts w:hint="eastAsia" w:hAnsi="宋体"/>
          <w:color w:val="auto"/>
          <w:sz w:val="28"/>
          <w:szCs w:val="28"/>
        </w:rPr>
        <w:t>5.5供应商实际控制人或者中高级管理人员，同时是采购代理机构工作人员，不得参与本项目政府采购活动。</w:t>
      </w:r>
    </w:p>
    <w:p w14:paraId="19EBA76A">
      <w:pPr>
        <w:spacing w:line="400" w:lineRule="exact"/>
        <w:ind w:firstLine="560" w:firstLineChars="200"/>
        <w:rPr>
          <w:rFonts w:ascii="宋体" w:hAnsi="宋体"/>
          <w:color w:val="auto"/>
          <w:sz w:val="28"/>
          <w:szCs w:val="28"/>
        </w:rPr>
      </w:pPr>
      <w:r>
        <w:rPr>
          <w:rFonts w:hint="eastAsia" w:ascii="宋体" w:hAnsi="宋体"/>
          <w:color w:val="auto"/>
          <w:sz w:val="28"/>
          <w:szCs w:val="28"/>
        </w:rPr>
        <w:t>5.6同一母公司的两家以上的子公司只能组成联合体参加本项目同一合同项下的采购活动，不得以不同供应商身份同时参加本项目同一合同项下的采购活动。</w:t>
      </w:r>
    </w:p>
    <w:p w14:paraId="1609AF43">
      <w:pPr>
        <w:spacing w:line="400" w:lineRule="exact"/>
        <w:ind w:firstLine="560" w:firstLineChars="200"/>
        <w:rPr>
          <w:rFonts w:ascii="宋体" w:hAnsi="宋体"/>
          <w:color w:val="auto"/>
          <w:sz w:val="28"/>
          <w:szCs w:val="28"/>
        </w:rPr>
      </w:pPr>
      <w:r>
        <w:rPr>
          <w:rFonts w:hint="eastAsia" w:ascii="宋体" w:hAnsi="宋体"/>
          <w:color w:val="auto"/>
          <w:sz w:val="28"/>
          <w:szCs w:val="28"/>
        </w:rPr>
        <w:t>5.7供应商与采购代理机构存在关联关系，或者是采购代理机构的母公司或子公司，不得参加本项目政府采购活动。</w:t>
      </w:r>
    </w:p>
    <w:p w14:paraId="6E2ACCAD">
      <w:pPr>
        <w:pStyle w:val="164"/>
        <w:spacing w:line="400" w:lineRule="exact"/>
        <w:ind w:left="1" w:firstLine="560" w:firstLineChars="200"/>
        <w:rPr>
          <w:rFonts w:hAnsi="宋体"/>
          <w:color w:val="auto"/>
          <w:sz w:val="28"/>
          <w:szCs w:val="28"/>
        </w:rPr>
      </w:pPr>
      <w:r>
        <w:rPr>
          <w:rFonts w:hint="eastAsia" w:hAnsi="宋体"/>
          <w:color w:val="auto"/>
          <w:sz w:val="28"/>
          <w:szCs w:val="28"/>
        </w:rPr>
        <w:t>5.8回避。政府采购活动中，采购人员及相关人员与供应商有下列利害关系之一的，应当回避：</w:t>
      </w:r>
    </w:p>
    <w:p w14:paraId="4567EC01">
      <w:pPr>
        <w:pStyle w:val="164"/>
        <w:spacing w:line="400" w:lineRule="exact"/>
        <w:ind w:left="1" w:firstLine="560" w:firstLineChars="200"/>
        <w:rPr>
          <w:rFonts w:hAnsi="宋体"/>
          <w:color w:val="auto"/>
          <w:sz w:val="28"/>
          <w:szCs w:val="28"/>
        </w:rPr>
      </w:pPr>
      <w:r>
        <w:rPr>
          <w:rFonts w:hint="eastAsia" w:hAnsi="宋体"/>
          <w:color w:val="auto"/>
          <w:sz w:val="28"/>
          <w:szCs w:val="28"/>
        </w:rPr>
        <w:t>（1）参加采购活动前3年内与供应商存在劳动关系；</w:t>
      </w:r>
    </w:p>
    <w:p w14:paraId="7D767510">
      <w:pPr>
        <w:pStyle w:val="164"/>
        <w:spacing w:line="400" w:lineRule="exact"/>
        <w:ind w:left="1" w:firstLine="560" w:firstLineChars="200"/>
        <w:rPr>
          <w:rFonts w:hAnsi="宋体"/>
          <w:color w:val="auto"/>
          <w:sz w:val="28"/>
          <w:szCs w:val="28"/>
        </w:rPr>
      </w:pPr>
      <w:r>
        <w:rPr>
          <w:rFonts w:hint="eastAsia" w:hAnsi="宋体"/>
          <w:color w:val="auto"/>
          <w:sz w:val="28"/>
          <w:szCs w:val="28"/>
        </w:rPr>
        <w:t>（2）参加采购活动前3年内担任供应商的董事、监事；</w:t>
      </w:r>
    </w:p>
    <w:p w14:paraId="33DA5AC3">
      <w:pPr>
        <w:pStyle w:val="164"/>
        <w:spacing w:line="400" w:lineRule="exact"/>
        <w:ind w:left="1" w:firstLine="560" w:firstLineChars="200"/>
        <w:rPr>
          <w:rFonts w:hAnsi="宋体"/>
          <w:color w:val="auto"/>
          <w:sz w:val="28"/>
          <w:szCs w:val="28"/>
        </w:rPr>
      </w:pPr>
      <w:r>
        <w:rPr>
          <w:rFonts w:hint="eastAsia" w:hAnsi="宋体"/>
          <w:color w:val="auto"/>
          <w:sz w:val="28"/>
          <w:szCs w:val="28"/>
        </w:rPr>
        <w:t>（3）参加采购活动前3年内是供应商的控股股东或者实际控制人；</w:t>
      </w:r>
    </w:p>
    <w:p w14:paraId="6544BB62">
      <w:pPr>
        <w:pStyle w:val="164"/>
        <w:spacing w:line="400" w:lineRule="exact"/>
        <w:ind w:left="1" w:firstLine="560" w:firstLineChars="200"/>
        <w:rPr>
          <w:rFonts w:hAnsi="宋体"/>
          <w:color w:val="auto"/>
          <w:sz w:val="28"/>
          <w:szCs w:val="28"/>
        </w:rPr>
      </w:pPr>
      <w:r>
        <w:rPr>
          <w:rFonts w:hint="eastAsia" w:hAnsi="宋体"/>
          <w:color w:val="auto"/>
          <w:sz w:val="28"/>
          <w:szCs w:val="28"/>
        </w:rPr>
        <w:t>（4）与供应商的法定代表人或者负责人有夫妻、直系血亲、三代以内旁系血亲或者近姻亲关系；</w:t>
      </w:r>
    </w:p>
    <w:p w14:paraId="18EA47E4">
      <w:pPr>
        <w:pStyle w:val="164"/>
        <w:spacing w:line="400" w:lineRule="exact"/>
        <w:ind w:left="1" w:firstLine="560" w:firstLineChars="200"/>
        <w:rPr>
          <w:rFonts w:hAnsi="宋体"/>
          <w:color w:val="auto"/>
          <w:sz w:val="28"/>
          <w:szCs w:val="28"/>
        </w:rPr>
      </w:pPr>
      <w:r>
        <w:rPr>
          <w:rFonts w:hint="eastAsia" w:hAnsi="宋体"/>
          <w:color w:val="auto"/>
          <w:sz w:val="28"/>
          <w:szCs w:val="28"/>
        </w:rPr>
        <w:t>（5）与供应商有其他可能影响政府采购活动公平、公正进行的关系。</w:t>
      </w:r>
    </w:p>
    <w:p w14:paraId="03691A20">
      <w:pPr>
        <w:pStyle w:val="164"/>
        <w:spacing w:line="400" w:lineRule="exact"/>
        <w:ind w:left="1" w:firstLine="560" w:firstLineChars="200"/>
        <w:rPr>
          <w:rFonts w:hAnsi="宋体"/>
          <w:color w:val="auto"/>
          <w:sz w:val="28"/>
          <w:szCs w:val="28"/>
        </w:rPr>
      </w:pPr>
      <w:r>
        <w:rPr>
          <w:rFonts w:hint="eastAsia" w:hAnsi="宋体"/>
          <w:color w:val="auto"/>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32536A2D">
      <w:pPr>
        <w:pStyle w:val="164"/>
        <w:spacing w:line="400" w:lineRule="exact"/>
        <w:ind w:left="1" w:firstLine="560" w:firstLineChars="200"/>
        <w:rPr>
          <w:rFonts w:hAnsi="宋体"/>
          <w:color w:val="auto"/>
          <w:sz w:val="28"/>
          <w:szCs w:val="28"/>
        </w:rPr>
      </w:pPr>
      <w:r>
        <w:rPr>
          <w:rFonts w:hint="eastAsia" w:hAnsi="宋体"/>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612BC959">
      <w:pPr>
        <w:pStyle w:val="164"/>
        <w:spacing w:line="400" w:lineRule="exact"/>
        <w:ind w:left="1" w:firstLine="560" w:firstLineChars="200"/>
        <w:rPr>
          <w:rFonts w:hAnsi="宋体"/>
          <w:b/>
          <w:color w:val="auto"/>
          <w:sz w:val="28"/>
          <w:szCs w:val="28"/>
        </w:rPr>
      </w:pPr>
    </w:p>
    <w:p w14:paraId="697AAD20">
      <w:pPr>
        <w:pStyle w:val="164"/>
        <w:spacing w:line="400" w:lineRule="exact"/>
        <w:ind w:left="1" w:firstLine="560" w:firstLineChars="200"/>
        <w:rPr>
          <w:rFonts w:hAnsi="宋体"/>
          <w:b/>
          <w:color w:val="auto"/>
          <w:sz w:val="28"/>
          <w:szCs w:val="28"/>
        </w:rPr>
      </w:pPr>
      <w:r>
        <w:rPr>
          <w:rFonts w:hint="eastAsia" w:hAnsi="宋体"/>
          <w:b/>
          <w:color w:val="auto"/>
          <w:sz w:val="28"/>
          <w:szCs w:val="28"/>
        </w:rPr>
        <w:t>6.联合体竞争性谈判</w:t>
      </w:r>
    </w:p>
    <w:p w14:paraId="5157ADC6">
      <w:pPr>
        <w:pStyle w:val="164"/>
        <w:spacing w:line="400" w:lineRule="exact"/>
        <w:ind w:left="1" w:firstLine="560" w:firstLineChars="200"/>
        <w:rPr>
          <w:rFonts w:hAnsi="宋体"/>
          <w:color w:val="auto"/>
          <w:sz w:val="28"/>
          <w:szCs w:val="28"/>
        </w:rPr>
      </w:pPr>
      <w:r>
        <w:rPr>
          <w:rFonts w:hint="eastAsia" w:hAnsi="宋体"/>
          <w:color w:val="auto"/>
          <w:sz w:val="28"/>
          <w:szCs w:val="28"/>
        </w:rPr>
        <w:t>本项目不接受联合体参与采购活动。</w:t>
      </w:r>
    </w:p>
    <w:p w14:paraId="65EB7051">
      <w:pPr>
        <w:pStyle w:val="164"/>
        <w:spacing w:line="400" w:lineRule="exact"/>
        <w:ind w:left="1" w:firstLine="560" w:firstLineChars="200"/>
        <w:rPr>
          <w:rFonts w:hAnsi="宋体"/>
          <w:b/>
          <w:color w:val="auto"/>
          <w:sz w:val="28"/>
          <w:szCs w:val="28"/>
        </w:rPr>
      </w:pPr>
      <w:r>
        <w:rPr>
          <w:rFonts w:hint="eastAsia" w:hAnsi="宋体"/>
          <w:b/>
          <w:color w:val="auto"/>
          <w:sz w:val="28"/>
          <w:szCs w:val="28"/>
        </w:rPr>
        <w:t>7.谈判保证金</w:t>
      </w:r>
    </w:p>
    <w:p w14:paraId="4144F18D">
      <w:pPr>
        <w:spacing w:line="400" w:lineRule="exact"/>
        <w:ind w:firstLine="548" w:firstLineChars="196"/>
        <w:rPr>
          <w:rFonts w:ascii="宋体" w:hAnsi="宋体"/>
          <w:color w:val="auto"/>
          <w:sz w:val="28"/>
          <w:szCs w:val="28"/>
        </w:rPr>
      </w:pPr>
      <w:r>
        <w:rPr>
          <w:rFonts w:hint="eastAsia" w:ascii="宋体" w:hAnsi="宋体"/>
          <w:color w:val="auto"/>
          <w:kern w:val="0"/>
          <w:sz w:val="28"/>
          <w:szCs w:val="28"/>
          <w:lang w:val="en-US" w:eastAsia="zh-CN"/>
        </w:rPr>
        <w:t>本项目</w:t>
      </w:r>
      <w:r>
        <w:rPr>
          <w:rFonts w:hint="eastAsia" w:ascii="宋体" w:hAnsi="宋体"/>
          <w:color w:val="auto"/>
          <w:kern w:val="0"/>
          <w:sz w:val="28"/>
          <w:szCs w:val="28"/>
        </w:rPr>
        <w:t>不收取谈判保证金。</w:t>
      </w:r>
    </w:p>
    <w:p w14:paraId="13D8D071">
      <w:pPr>
        <w:spacing w:line="400" w:lineRule="exact"/>
        <w:ind w:firstLine="548" w:firstLineChars="196"/>
        <w:rPr>
          <w:rFonts w:ascii="宋体" w:hAnsi="宋体"/>
          <w:b/>
          <w:color w:val="auto"/>
          <w:sz w:val="28"/>
          <w:szCs w:val="28"/>
        </w:rPr>
      </w:pPr>
      <w:r>
        <w:rPr>
          <w:rFonts w:hint="eastAsia" w:ascii="宋体" w:hAnsi="宋体"/>
          <w:b/>
          <w:color w:val="auto"/>
          <w:sz w:val="28"/>
          <w:szCs w:val="28"/>
        </w:rPr>
        <w:t>8.响应文件有效期（实质性要求）</w:t>
      </w:r>
    </w:p>
    <w:p w14:paraId="4C54B32D">
      <w:pPr>
        <w:spacing w:line="400" w:lineRule="exact"/>
        <w:ind w:firstLine="548" w:firstLineChars="196"/>
        <w:rPr>
          <w:rFonts w:ascii="宋体" w:hAnsi="宋体"/>
          <w:color w:val="auto"/>
          <w:sz w:val="28"/>
          <w:szCs w:val="28"/>
        </w:rPr>
      </w:pPr>
      <w:r>
        <w:rPr>
          <w:rFonts w:hint="eastAsia" w:ascii="宋体" w:hAnsi="宋体"/>
          <w:color w:val="auto"/>
          <w:sz w:val="28"/>
          <w:szCs w:val="28"/>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响应处理。</w:t>
      </w:r>
    </w:p>
    <w:p w14:paraId="44AA44FB">
      <w:pPr>
        <w:spacing w:line="400" w:lineRule="exact"/>
        <w:ind w:firstLine="548" w:firstLineChars="196"/>
        <w:rPr>
          <w:rFonts w:ascii="宋体" w:hAnsi="宋体"/>
          <w:color w:val="auto"/>
          <w:sz w:val="28"/>
          <w:szCs w:val="28"/>
        </w:rPr>
      </w:pPr>
    </w:p>
    <w:p w14:paraId="5E5F9B0A">
      <w:pPr>
        <w:pStyle w:val="18"/>
        <w:spacing w:line="400" w:lineRule="exact"/>
        <w:ind w:firstLine="560" w:firstLineChars="200"/>
        <w:rPr>
          <w:rFonts w:ascii="宋体" w:hAnsi="宋体"/>
          <w:b/>
          <w:bCs/>
          <w:color w:val="auto"/>
          <w:sz w:val="28"/>
          <w:szCs w:val="28"/>
        </w:rPr>
      </w:pPr>
      <w:r>
        <w:rPr>
          <w:rFonts w:hint="eastAsia" w:ascii="宋体" w:hAnsi="宋体"/>
          <w:b/>
          <w:color w:val="auto"/>
          <w:sz w:val="28"/>
          <w:szCs w:val="28"/>
        </w:rPr>
        <w:t>9.</w:t>
      </w:r>
      <w:r>
        <w:rPr>
          <w:rFonts w:hint="eastAsia" w:ascii="宋体" w:hAnsi="宋体"/>
          <w:b/>
          <w:bCs/>
          <w:color w:val="auto"/>
          <w:sz w:val="28"/>
          <w:szCs w:val="28"/>
        </w:rPr>
        <w:t>知识产权（实质性要求）</w:t>
      </w:r>
    </w:p>
    <w:p w14:paraId="0511AF34">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.1</w:t>
      </w:r>
      <w:r>
        <w:rPr>
          <w:rFonts w:hint="eastAsia" w:ascii="宋体" w:hAnsi="宋体"/>
          <w:color w:val="auto"/>
          <w:sz w:val="28"/>
          <w:szCs w:val="28"/>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4CBFEF">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.2</w:t>
      </w:r>
      <w:r>
        <w:rPr>
          <w:rFonts w:hint="eastAsia" w:ascii="宋体" w:hAnsi="宋体"/>
          <w:color w:val="auto"/>
          <w:sz w:val="28"/>
          <w:szCs w:val="28"/>
        </w:rPr>
        <w:t xml:space="preserve"> 除非谈判文件特别规定，采购人享有本项目实施过程中产生的知识成果及知识产权。</w:t>
      </w:r>
    </w:p>
    <w:p w14:paraId="581E6103">
      <w:pPr>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.3</w:t>
      </w:r>
      <w:r>
        <w:rPr>
          <w:rFonts w:hint="eastAsia" w:ascii="宋体" w:hAnsi="宋体"/>
          <w:color w:val="auto"/>
          <w:sz w:val="28"/>
          <w:szCs w:val="28"/>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5AD18C3">
      <w:pPr>
        <w:spacing w:line="400" w:lineRule="exact"/>
        <w:ind w:firstLine="537" w:firstLineChars="192"/>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.4</w:t>
      </w:r>
      <w:r>
        <w:rPr>
          <w:rFonts w:hint="eastAsia" w:ascii="宋体" w:hAnsi="宋体"/>
          <w:color w:val="auto"/>
          <w:sz w:val="28"/>
          <w:szCs w:val="28"/>
        </w:rPr>
        <w:t xml:space="preserve"> 如采用供应商所不拥有的知识产权，则在报价中必须包括合法获取该知识产权的相关费用。 </w:t>
      </w:r>
    </w:p>
    <w:p w14:paraId="47196BFE">
      <w:pPr>
        <w:pStyle w:val="3"/>
        <w:keepNext w:val="0"/>
        <w:keepLines w:val="0"/>
        <w:spacing w:before="0" w:after="0" w:line="400" w:lineRule="exact"/>
        <w:jc w:val="center"/>
        <w:rPr>
          <w:rFonts w:ascii="黑体"/>
          <w:bCs w:val="0"/>
          <w:color w:val="auto"/>
          <w:sz w:val="28"/>
          <w:szCs w:val="28"/>
        </w:rPr>
      </w:pPr>
      <w:bookmarkStart w:id="35" w:name="_Toc217446038"/>
      <w:bookmarkStart w:id="36" w:name="_Toc183582209"/>
      <w:bookmarkStart w:id="37" w:name="_Toc77400779"/>
      <w:bookmarkStart w:id="38" w:name="_Toc89075875"/>
      <w:bookmarkStart w:id="39" w:name="_Toc183682346"/>
    </w:p>
    <w:p w14:paraId="72893697">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三、谈判文件</w:t>
      </w:r>
      <w:bookmarkEnd w:id="35"/>
      <w:bookmarkEnd w:id="36"/>
      <w:bookmarkEnd w:id="37"/>
      <w:bookmarkEnd w:id="38"/>
      <w:bookmarkEnd w:id="39"/>
    </w:p>
    <w:p w14:paraId="2089CA2E">
      <w:pPr>
        <w:pStyle w:val="4"/>
        <w:keepNext w:val="0"/>
        <w:keepLines w:val="0"/>
        <w:spacing w:before="0" w:after="0" w:line="400" w:lineRule="exact"/>
        <w:ind w:firstLine="560" w:firstLineChars="200"/>
        <w:rPr>
          <w:rFonts w:ascii="宋体" w:hAnsi="宋体"/>
          <w:color w:val="auto"/>
          <w:sz w:val="28"/>
          <w:szCs w:val="28"/>
        </w:rPr>
      </w:pPr>
      <w:bookmarkStart w:id="40" w:name="_Toc183582210"/>
      <w:bookmarkStart w:id="41" w:name="_Toc183682347"/>
      <w:bookmarkStart w:id="42" w:name="_Toc217446039"/>
    </w:p>
    <w:p w14:paraId="73614E2A">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10．谈判文件的构成</w:t>
      </w:r>
      <w:bookmarkEnd w:id="40"/>
      <w:bookmarkEnd w:id="41"/>
      <w:bookmarkEnd w:id="42"/>
      <w:r>
        <w:rPr>
          <w:rFonts w:hint="eastAsia" w:ascii="宋体" w:hAnsi="宋体"/>
          <w:color w:val="auto"/>
          <w:sz w:val="28"/>
          <w:szCs w:val="28"/>
        </w:rPr>
        <w:t>（实质性要求）</w:t>
      </w:r>
    </w:p>
    <w:p w14:paraId="09A065E6">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ascii="宋体" w:hAnsi="宋体"/>
          <w:b/>
          <w:bCs/>
          <w:color w:val="auto"/>
          <w:sz w:val="28"/>
          <w:szCs w:val="28"/>
        </w:rPr>
        <w:t>.</w:t>
      </w:r>
      <w:r>
        <w:rPr>
          <w:rFonts w:hint="eastAsia" w:ascii="宋体" w:hAnsi="宋体"/>
          <w:color w:val="auto"/>
          <w:sz w:val="28"/>
          <w:szCs w:val="28"/>
        </w:rPr>
        <w:t>1 谈判文件是供应商准备响应文件和参加谈判的依据，同时也是谈判的重要依据。谈判文件用以阐明谈判项目所需的资质、技术、服务及报价等要求、谈判程序、有关规定和注意事项以及合同主要条款等。</w:t>
      </w:r>
    </w:p>
    <w:p w14:paraId="525DCD0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hint="eastAsia" w:ascii="宋体" w:hAnsi="宋体"/>
          <w:b/>
          <w:bCs/>
          <w:color w:val="auto"/>
          <w:sz w:val="28"/>
          <w:szCs w:val="28"/>
        </w:rPr>
        <w:t>.</w:t>
      </w:r>
      <w:r>
        <w:rPr>
          <w:rFonts w:hint="eastAsia" w:ascii="宋体" w:hAnsi="宋体"/>
          <w:color w:val="auto"/>
          <w:sz w:val="28"/>
          <w:szCs w:val="28"/>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3C38F6D5">
      <w:pPr>
        <w:pStyle w:val="4"/>
        <w:keepNext w:val="0"/>
        <w:keepLines w:val="0"/>
        <w:spacing w:before="0" w:after="0" w:line="400" w:lineRule="exact"/>
        <w:ind w:firstLine="560" w:firstLineChars="200"/>
        <w:rPr>
          <w:rFonts w:ascii="宋体" w:hAnsi="宋体"/>
          <w:color w:val="auto"/>
          <w:sz w:val="28"/>
          <w:szCs w:val="28"/>
        </w:rPr>
      </w:pPr>
      <w:bookmarkStart w:id="43" w:name="_Toc183682348"/>
      <w:bookmarkStart w:id="44" w:name="_Toc183582211"/>
      <w:bookmarkStart w:id="45" w:name="_Toc217446040"/>
    </w:p>
    <w:p w14:paraId="02277E3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11. 谈判文件的澄清</w:t>
      </w:r>
      <w:bookmarkEnd w:id="43"/>
      <w:bookmarkEnd w:id="44"/>
      <w:r>
        <w:rPr>
          <w:rFonts w:hint="eastAsia" w:ascii="宋体" w:hAnsi="宋体"/>
          <w:color w:val="auto"/>
          <w:sz w:val="28"/>
          <w:szCs w:val="28"/>
        </w:rPr>
        <w:t>和修改</w:t>
      </w:r>
      <w:bookmarkEnd w:id="45"/>
    </w:p>
    <w:p w14:paraId="293C5360">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11.1 在递交响应文件截止时间前，采购人、采购代理机构可以对谈判文件进行澄清或者修改。</w:t>
      </w:r>
    </w:p>
    <w:p w14:paraId="31EC7DF4">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发布公告并书面通知供应商的时间，应当在</w:t>
      </w:r>
      <w:r>
        <w:rPr>
          <w:rFonts w:hint="eastAsia" w:ascii="宋体" w:hAnsi="宋体" w:cs="宋体"/>
          <w:color w:val="auto"/>
          <w:sz w:val="28"/>
          <w:szCs w:val="28"/>
        </w:rPr>
        <w:t>提交</w:t>
      </w:r>
      <w:r>
        <w:rPr>
          <w:rFonts w:hint="eastAsia" w:ascii="宋体" w:hAnsi="宋体"/>
          <w:color w:val="auto"/>
          <w:sz w:val="28"/>
          <w:szCs w:val="28"/>
        </w:rPr>
        <w:t>首次响应文件截止之日起3个工作日前；不足上述时间的，应当顺延递交响应文件的截止时间。</w:t>
      </w:r>
    </w:p>
    <w:p w14:paraId="46A122D1">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11.3供应商认为采购人需要对谈判文件进行澄清或者修改的，可以在响应文件提交截止前以书面形式向采购人提出申请，由采购人决定是否采纳供应商的申请事项。</w:t>
      </w:r>
    </w:p>
    <w:p w14:paraId="6480417D">
      <w:pPr>
        <w:pStyle w:val="4"/>
        <w:keepNext w:val="0"/>
        <w:keepLines w:val="0"/>
        <w:spacing w:before="0" w:after="0" w:line="400" w:lineRule="exact"/>
        <w:ind w:firstLine="560" w:firstLineChars="200"/>
        <w:rPr>
          <w:rFonts w:ascii="宋体" w:hAnsi="宋体"/>
          <w:color w:val="auto"/>
          <w:sz w:val="28"/>
          <w:szCs w:val="28"/>
        </w:rPr>
      </w:pPr>
    </w:p>
    <w:p w14:paraId="450AEB0B">
      <w:pPr>
        <w:pStyle w:val="4"/>
        <w:keepNext w:val="0"/>
        <w:keepLines w:val="0"/>
        <w:spacing w:before="0" w:after="0" w:line="400" w:lineRule="exact"/>
        <w:ind w:firstLine="560" w:firstLineChars="200"/>
        <w:rPr>
          <w:rFonts w:ascii="宋体" w:hAnsi="宋体"/>
          <w:color w:val="auto"/>
          <w:sz w:val="28"/>
          <w:szCs w:val="28"/>
        </w:rPr>
      </w:pPr>
      <w:bookmarkStart w:id="46" w:name="_Toc217446041"/>
      <w:bookmarkStart w:id="47" w:name="_Toc208848971"/>
      <w:r>
        <w:rPr>
          <w:rFonts w:hint="eastAsia" w:ascii="宋体" w:hAnsi="宋体"/>
          <w:color w:val="auto"/>
          <w:sz w:val="28"/>
          <w:szCs w:val="28"/>
        </w:rPr>
        <w:t>12. 答疑会和现场考察</w:t>
      </w:r>
      <w:bookmarkEnd w:id="46"/>
      <w:bookmarkEnd w:id="47"/>
    </w:p>
    <w:p w14:paraId="24B34D3D">
      <w:pPr>
        <w:spacing w:line="400" w:lineRule="exact"/>
        <w:ind w:firstLine="560" w:firstLineChars="200"/>
        <w:rPr>
          <w:rFonts w:ascii="宋体" w:hAnsi="宋体"/>
          <w:color w:val="auto"/>
          <w:sz w:val="28"/>
          <w:szCs w:val="28"/>
        </w:rPr>
      </w:pPr>
      <w:r>
        <w:rPr>
          <w:rFonts w:hint="eastAsia" w:ascii="宋体" w:hAnsi="宋体"/>
          <w:color w:val="auto"/>
          <w:sz w:val="28"/>
          <w:szCs w:val="28"/>
        </w:rPr>
        <w:t>12.1 根据采购项目和具体情况，采购人、采购代理机构认为有必要，可以在谈判文件提供期限截止后响应文件提交截止前，组织已获取谈判文件的潜在供应商现场考察或者召开答疑会。</w:t>
      </w:r>
    </w:p>
    <w:p w14:paraId="4C821CBC">
      <w:pPr>
        <w:spacing w:line="400" w:lineRule="exact"/>
        <w:ind w:firstLine="560" w:firstLineChars="200"/>
        <w:rPr>
          <w:rFonts w:ascii="宋体" w:hAnsi="宋体"/>
          <w:color w:val="auto"/>
          <w:sz w:val="28"/>
          <w:szCs w:val="28"/>
        </w:rPr>
      </w:pPr>
      <w:r>
        <w:rPr>
          <w:rFonts w:hint="eastAsia" w:ascii="宋体" w:hAnsi="宋体"/>
          <w:color w:val="auto"/>
          <w:sz w:val="28"/>
          <w:szCs w:val="28"/>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0B13556">
      <w:pPr>
        <w:adjustRightInd w:val="0"/>
        <w:snapToGrid w:val="0"/>
        <w:spacing w:line="400" w:lineRule="exact"/>
        <w:ind w:firstLine="490" w:firstLineChars="175"/>
        <w:rPr>
          <w:rFonts w:ascii="宋体" w:hAnsi="宋体"/>
          <w:color w:val="auto"/>
          <w:sz w:val="28"/>
          <w:szCs w:val="28"/>
        </w:rPr>
      </w:pPr>
      <w:r>
        <w:rPr>
          <w:rFonts w:hint="eastAsia" w:ascii="宋体" w:hAnsi="宋体"/>
          <w:color w:val="auto"/>
          <w:sz w:val="28"/>
          <w:szCs w:val="28"/>
        </w:rPr>
        <w:t>12</w:t>
      </w:r>
      <w:r>
        <w:rPr>
          <w:rFonts w:ascii="宋体" w:hAnsi="宋体"/>
          <w:color w:val="auto"/>
          <w:sz w:val="28"/>
          <w:szCs w:val="28"/>
        </w:rPr>
        <w:t>.</w:t>
      </w:r>
      <w:r>
        <w:rPr>
          <w:rFonts w:hint="eastAsia" w:ascii="宋体" w:hAnsi="宋体"/>
          <w:color w:val="auto"/>
          <w:sz w:val="28"/>
          <w:szCs w:val="28"/>
        </w:rPr>
        <w:t>3 供应商自行承担参加答疑会和现场考察的一切费用。</w:t>
      </w:r>
    </w:p>
    <w:p w14:paraId="0D3EE563">
      <w:pPr>
        <w:pStyle w:val="3"/>
        <w:keepNext w:val="0"/>
        <w:keepLines w:val="0"/>
        <w:spacing w:before="0" w:after="0" w:line="400" w:lineRule="exact"/>
        <w:jc w:val="center"/>
        <w:rPr>
          <w:rFonts w:ascii="黑体"/>
          <w:bCs w:val="0"/>
          <w:color w:val="auto"/>
          <w:sz w:val="28"/>
          <w:szCs w:val="28"/>
        </w:rPr>
      </w:pPr>
      <w:bookmarkStart w:id="48" w:name="_Toc183682351"/>
      <w:bookmarkStart w:id="49" w:name="_Toc77400780"/>
      <w:bookmarkStart w:id="50" w:name="_Toc217446042"/>
      <w:bookmarkStart w:id="51" w:name="_Toc89075876"/>
      <w:bookmarkStart w:id="52" w:name="_Toc183582214"/>
    </w:p>
    <w:p w14:paraId="2381376B">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四、响应文件</w:t>
      </w:r>
      <w:bookmarkEnd w:id="48"/>
      <w:bookmarkEnd w:id="49"/>
      <w:bookmarkEnd w:id="50"/>
      <w:bookmarkEnd w:id="51"/>
      <w:bookmarkEnd w:id="52"/>
    </w:p>
    <w:p w14:paraId="72DB6044">
      <w:pPr>
        <w:pStyle w:val="4"/>
        <w:keepNext w:val="0"/>
        <w:keepLines w:val="0"/>
        <w:spacing w:before="0" w:after="0" w:line="400" w:lineRule="exact"/>
        <w:ind w:firstLine="560" w:firstLineChars="200"/>
        <w:rPr>
          <w:rFonts w:ascii="宋体" w:hAnsi="宋体"/>
          <w:bCs w:val="0"/>
          <w:color w:val="auto"/>
          <w:sz w:val="28"/>
          <w:szCs w:val="28"/>
        </w:rPr>
      </w:pPr>
      <w:bookmarkStart w:id="53" w:name="_Toc183582215"/>
      <w:bookmarkStart w:id="54" w:name="_Toc183682352"/>
      <w:bookmarkStart w:id="55" w:name="_Toc217446043"/>
    </w:p>
    <w:p w14:paraId="1DECFB31">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13.响应文件的组成（实质性要求）</w:t>
      </w:r>
    </w:p>
    <w:p w14:paraId="090A7E68">
      <w:pPr>
        <w:pStyle w:val="4"/>
        <w:keepNext w:val="0"/>
        <w:keepLines w:val="0"/>
        <w:spacing w:before="0" w:after="0" w:line="400" w:lineRule="exact"/>
        <w:ind w:firstLine="560" w:firstLineChars="200"/>
        <w:rPr>
          <w:rFonts w:ascii="宋体" w:hAnsi="宋体"/>
          <w:b w:val="0"/>
          <w:color w:val="auto"/>
          <w:sz w:val="28"/>
          <w:szCs w:val="28"/>
        </w:rPr>
      </w:pPr>
      <w:r>
        <w:rPr>
          <w:rFonts w:hint="eastAsia" w:ascii="宋体" w:hAnsi="宋体"/>
          <w:b w:val="0"/>
          <w:color w:val="auto"/>
          <w:sz w:val="28"/>
          <w:szCs w:val="28"/>
        </w:rPr>
        <w:t>供应商应按照谈判文件的规定和要求编制响应文件。供应商在成交后将成交项目的非主体、非关键性工作分包他人完成的，应当在响应文件中载明或谈判过程中澄清。</w:t>
      </w:r>
    </w:p>
    <w:p w14:paraId="25B61F19">
      <w:pPr>
        <w:spacing w:line="400" w:lineRule="exact"/>
        <w:ind w:left="2" w:leftChars="1" w:firstLine="560" w:firstLineChars="200"/>
        <w:rPr>
          <w:color w:val="auto"/>
          <w:sz w:val="28"/>
          <w:szCs w:val="28"/>
        </w:rPr>
      </w:pPr>
    </w:p>
    <w:p w14:paraId="4CB7AF94">
      <w:pPr>
        <w:pStyle w:val="4"/>
        <w:keepNext w:val="0"/>
        <w:keepLines w:val="0"/>
        <w:spacing w:before="0" w:after="0" w:line="400" w:lineRule="exact"/>
        <w:ind w:firstLine="560" w:firstLineChars="200"/>
        <w:rPr>
          <w:rFonts w:ascii="宋体" w:hAnsi="宋体"/>
          <w:bCs w:val="0"/>
          <w:color w:val="auto"/>
          <w:sz w:val="28"/>
          <w:szCs w:val="28"/>
        </w:rPr>
      </w:pPr>
      <w:r>
        <w:rPr>
          <w:rFonts w:hint="eastAsia" w:ascii="宋体" w:hAnsi="宋体"/>
          <w:bCs w:val="0"/>
          <w:color w:val="auto"/>
          <w:sz w:val="28"/>
          <w:szCs w:val="28"/>
        </w:rPr>
        <w:t>14.响应文件的语言</w:t>
      </w:r>
      <w:bookmarkEnd w:id="53"/>
      <w:bookmarkEnd w:id="54"/>
      <w:bookmarkEnd w:id="55"/>
      <w:r>
        <w:rPr>
          <w:rFonts w:hint="eastAsia" w:ascii="宋体" w:hAnsi="宋体"/>
          <w:bCs w:val="0"/>
          <w:color w:val="auto"/>
          <w:sz w:val="28"/>
          <w:szCs w:val="28"/>
        </w:rPr>
        <w:t>（实质性要求）</w:t>
      </w:r>
    </w:p>
    <w:p w14:paraId="64E8A46B">
      <w:pPr>
        <w:spacing w:line="400" w:lineRule="exact"/>
        <w:ind w:firstLine="560" w:firstLineChars="200"/>
        <w:rPr>
          <w:rFonts w:ascii="宋体" w:hAnsi="宋体"/>
          <w:color w:val="auto"/>
          <w:sz w:val="28"/>
          <w:szCs w:val="28"/>
        </w:rPr>
      </w:pPr>
      <w:r>
        <w:rPr>
          <w:rFonts w:hint="eastAsia" w:ascii="宋体" w:hAnsi="宋体"/>
          <w:color w:val="auto"/>
          <w:sz w:val="28"/>
          <w:szCs w:val="28"/>
        </w:rPr>
        <w:t>14.1</w:t>
      </w:r>
      <w:r>
        <w:rPr>
          <w:rFonts w:hint="eastAsia"/>
          <w:color w:val="auto"/>
          <w:sz w:val="28"/>
          <w:szCs w:val="28"/>
        </w:rPr>
        <w:t xml:space="preserve"> </w:t>
      </w:r>
      <w:r>
        <w:rPr>
          <w:rFonts w:hint="eastAsia" w:ascii="宋体" w:hAnsi="宋体"/>
          <w:color w:val="auto"/>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2BCA379">
      <w:pPr>
        <w:spacing w:line="400" w:lineRule="exact"/>
        <w:ind w:firstLine="560" w:firstLineChars="200"/>
        <w:rPr>
          <w:rFonts w:ascii="宋体" w:hAnsi="宋体"/>
          <w:color w:val="auto"/>
          <w:sz w:val="28"/>
          <w:szCs w:val="28"/>
        </w:rPr>
      </w:pPr>
      <w:r>
        <w:rPr>
          <w:rFonts w:hint="eastAsia" w:ascii="宋体" w:hAnsi="宋体"/>
          <w:color w:val="auto"/>
          <w:sz w:val="28"/>
          <w:szCs w:val="28"/>
        </w:rPr>
        <w:t>14.2 翻译的中文资料与外文资料如果出现差异和矛盾，以中文为准。但不能故意错误翻译，否则，供应商的响应文件将作为无效处理。</w:t>
      </w:r>
    </w:p>
    <w:p w14:paraId="3EED30FC">
      <w:pPr>
        <w:pStyle w:val="4"/>
        <w:keepNext w:val="0"/>
        <w:keepLines w:val="0"/>
        <w:spacing w:before="0" w:after="0" w:line="400" w:lineRule="exact"/>
        <w:ind w:firstLine="560" w:firstLineChars="200"/>
        <w:rPr>
          <w:rFonts w:ascii="宋体" w:hAnsi="宋体"/>
          <w:color w:val="auto"/>
          <w:sz w:val="28"/>
          <w:szCs w:val="28"/>
        </w:rPr>
      </w:pPr>
      <w:bookmarkStart w:id="56" w:name="_Toc183682353"/>
      <w:bookmarkStart w:id="57" w:name="_Toc217446044"/>
      <w:bookmarkStart w:id="58" w:name="_Toc183582216"/>
    </w:p>
    <w:p w14:paraId="21636FD3">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15．计量单位</w:t>
      </w:r>
      <w:bookmarkEnd w:id="56"/>
      <w:bookmarkEnd w:id="57"/>
      <w:bookmarkEnd w:id="58"/>
      <w:r>
        <w:rPr>
          <w:rFonts w:hint="eastAsia" w:ascii="宋体" w:hAnsi="宋体"/>
          <w:color w:val="auto"/>
          <w:sz w:val="28"/>
          <w:szCs w:val="28"/>
        </w:rPr>
        <w:t>（实质性要求）</w:t>
      </w:r>
    </w:p>
    <w:p w14:paraId="6907A976">
      <w:pPr>
        <w:spacing w:line="400" w:lineRule="exact"/>
        <w:ind w:firstLine="548" w:firstLineChars="196"/>
        <w:rPr>
          <w:rFonts w:ascii="宋体" w:hAnsi="宋体"/>
          <w:color w:val="auto"/>
          <w:sz w:val="28"/>
          <w:szCs w:val="28"/>
        </w:rPr>
      </w:pPr>
      <w:r>
        <w:rPr>
          <w:rFonts w:hint="eastAsia" w:ascii="宋体" w:hAnsi="宋体"/>
          <w:color w:val="auto"/>
          <w:sz w:val="28"/>
          <w:szCs w:val="28"/>
        </w:rPr>
        <w:t>除谈判文件中另有规定外，本次采购项目所有合同项下的报价均采用国家法定的计量单位。</w:t>
      </w:r>
    </w:p>
    <w:p w14:paraId="56F315B1">
      <w:pPr>
        <w:spacing w:line="400" w:lineRule="exact"/>
        <w:ind w:firstLine="546" w:firstLineChars="195"/>
        <w:rPr>
          <w:rFonts w:ascii="宋体" w:hAnsi="宋体"/>
          <w:b/>
          <w:bCs/>
          <w:color w:val="auto"/>
          <w:sz w:val="28"/>
          <w:szCs w:val="28"/>
        </w:rPr>
      </w:pPr>
      <w:r>
        <w:rPr>
          <w:rFonts w:hint="eastAsia" w:ascii="宋体" w:hAnsi="宋体"/>
          <w:color w:val="auto"/>
          <w:sz w:val="28"/>
          <w:szCs w:val="28"/>
        </w:rPr>
        <w:t xml:space="preserve"> </w:t>
      </w:r>
      <w:bookmarkStart w:id="59" w:name="_Toc217446045"/>
      <w:r>
        <w:rPr>
          <w:rFonts w:hint="eastAsia" w:ascii="宋体" w:hAnsi="宋体"/>
          <w:color w:val="auto"/>
          <w:sz w:val="28"/>
          <w:szCs w:val="28"/>
        </w:rPr>
        <w:t xml:space="preserve">  </w:t>
      </w:r>
    </w:p>
    <w:p w14:paraId="0CF99DA4">
      <w:pPr>
        <w:spacing w:line="400" w:lineRule="exact"/>
        <w:ind w:firstLine="546" w:firstLineChars="195"/>
        <w:rPr>
          <w:rFonts w:ascii="宋体" w:hAnsi="宋体"/>
          <w:b/>
          <w:bCs/>
          <w:color w:val="auto"/>
          <w:sz w:val="28"/>
          <w:szCs w:val="28"/>
        </w:rPr>
      </w:pPr>
      <w:r>
        <w:rPr>
          <w:rFonts w:hint="eastAsia" w:ascii="宋体" w:hAnsi="宋体"/>
          <w:b/>
          <w:bCs/>
          <w:color w:val="auto"/>
          <w:sz w:val="28"/>
          <w:szCs w:val="28"/>
        </w:rPr>
        <w:t xml:space="preserve">16. </w:t>
      </w:r>
      <w:r>
        <w:rPr>
          <w:rFonts w:hint="eastAsia" w:ascii="宋体" w:hAnsi="宋体"/>
          <w:b/>
          <w:color w:val="auto"/>
          <w:sz w:val="28"/>
          <w:szCs w:val="28"/>
        </w:rPr>
        <w:t>报价</w:t>
      </w:r>
      <w:r>
        <w:rPr>
          <w:rFonts w:hint="eastAsia" w:ascii="宋体" w:hAnsi="宋体"/>
          <w:b/>
          <w:bCs/>
          <w:color w:val="auto"/>
          <w:sz w:val="28"/>
          <w:szCs w:val="28"/>
        </w:rPr>
        <w:t>货币（实质性要求）</w:t>
      </w:r>
    </w:p>
    <w:p w14:paraId="45D605C4">
      <w:pPr>
        <w:spacing w:line="400" w:lineRule="exact"/>
        <w:ind w:firstLine="546" w:firstLineChars="195"/>
        <w:rPr>
          <w:rFonts w:ascii="宋体" w:hAnsi="宋体"/>
          <w:bCs/>
          <w:color w:val="auto"/>
          <w:sz w:val="28"/>
          <w:szCs w:val="28"/>
        </w:rPr>
      </w:pPr>
      <w:r>
        <w:rPr>
          <w:rFonts w:hint="eastAsia" w:ascii="宋体" w:hAnsi="宋体"/>
          <w:bCs/>
          <w:color w:val="auto"/>
          <w:sz w:val="28"/>
          <w:szCs w:val="28"/>
        </w:rPr>
        <w:t>本次</w:t>
      </w:r>
      <w:r>
        <w:rPr>
          <w:rFonts w:hint="eastAsia" w:ascii="宋体" w:hAnsi="宋体"/>
          <w:color w:val="auto"/>
          <w:sz w:val="28"/>
          <w:szCs w:val="28"/>
        </w:rPr>
        <w:t>谈判</w:t>
      </w:r>
      <w:r>
        <w:rPr>
          <w:rFonts w:hint="eastAsia" w:ascii="宋体" w:hAnsi="宋体"/>
          <w:bCs/>
          <w:color w:val="auto"/>
          <w:sz w:val="28"/>
          <w:szCs w:val="28"/>
        </w:rPr>
        <w:t>项目的</w:t>
      </w:r>
      <w:r>
        <w:rPr>
          <w:rFonts w:hint="eastAsia" w:ascii="宋体" w:hAnsi="宋体"/>
          <w:color w:val="auto"/>
          <w:sz w:val="28"/>
          <w:szCs w:val="28"/>
        </w:rPr>
        <w:t>报价货币为</w:t>
      </w:r>
      <w:r>
        <w:rPr>
          <w:rFonts w:hint="eastAsia" w:ascii="宋体" w:hAnsi="宋体"/>
          <w:bCs/>
          <w:color w:val="auto"/>
          <w:sz w:val="28"/>
          <w:szCs w:val="28"/>
        </w:rPr>
        <w:t>人民币，报价以</w:t>
      </w:r>
      <w:r>
        <w:rPr>
          <w:rFonts w:hint="eastAsia" w:ascii="宋体" w:hAnsi="宋体"/>
          <w:color w:val="auto"/>
          <w:sz w:val="28"/>
          <w:szCs w:val="28"/>
        </w:rPr>
        <w:t>谈判</w:t>
      </w:r>
      <w:r>
        <w:rPr>
          <w:rFonts w:hint="eastAsia" w:ascii="宋体" w:hAnsi="宋体"/>
          <w:bCs/>
          <w:color w:val="auto"/>
          <w:sz w:val="28"/>
          <w:szCs w:val="28"/>
        </w:rPr>
        <w:t>文件约定为准。</w:t>
      </w:r>
    </w:p>
    <w:p w14:paraId="6112F466">
      <w:pPr>
        <w:spacing w:line="400" w:lineRule="exact"/>
        <w:ind w:firstLine="546" w:firstLineChars="195"/>
        <w:rPr>
          <w:rFonts w:ascii="宋体" w:hAnsi="宋体"/>
          <w:b/>
          <w:bCs/>
          <w:color w:val="auto"/>
          <w:sz w:val="28"/>
          <w:szCs w:val="28"/>
        </w:rPr>
      </w:pPr>
    </w:p>
    <w:bookmarkEnd w:id="59"/>
    <w:p w14:paraId="07C29D6E">
      <w:pPr>
        <w:spacing w:line="400" w:lineRule="exact"/>
        <w:ind w:left="2" w:leftChars="1" w:firstLine="560" w:firstLineChars="200"/>
        <w:rPr>
          <w:rFonts w:ascii="宋体" w:hAnsi="宋体"/>
          <w:b/>
          <w:color w:val="auto"/>
          <w:sz w:val="28"/>
          <w:szCs w:val="28"/>
        </w:rPr>
      </w:pPr>
      <w:r>
        <w:rPr>
          <w:rFonts w:hint="eastAsia" w:ascii="宋体" w:hAnsi="宋体"/>
          <w:b/>
          <w:color w:val="auto"/>
          <w:sz w:val="28"/>
          <w:szCs w:val="28"/>
        </w:rPr>
        <w:t>17.响应文件格式</w:t>
      </w:r>
    </w:p>
    <w:p w14:paraId="0D47E5E2">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17.1 供应商应执行谈判文件第八章的规定要求。</w:t>
      </w:r>
    </w:p>
    <w:p w14:paraId="41851270">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17.2 对于没有格式要求的谈判文件由供应商自行编写。</w:t>
      </w:r>
    </w:p>
    <w:p w14:paraId="082A5759">
      <w:pPr>
        <w:spacing w:line="400" w:lineRule="exact"/>
        <w:ind w:firstLine="548" w:firstLineChars="196"/>
        <w:rPr>
          <w:rFonts w:ascii="宋体" w:hAnsi="宋体"/>
          <w:color w:val="auto"/>
          <w:sz w:val="28"/>
          <w:szCs w:val="28"/>
        </w:rPr>
      </w:pPr>
      <w:bookmarkStart w:id="60" w:name="_Toc217446051"/>
      <w:bookmarkStart w:id="61" w:name="_Toc183682361"/>
      <w:bookmarkStart w:id="62" w:name="_Toc183582224"/>
    </w:p>
    <w:p w14:paraId="2618D569">
      <w:pPr>
        <w:spacing w:line="400" w:lineRule="exact"/>
        <w:ind w:firstLine="548" w:firstLineChars="196"/>
        <w:rPr>
          <w:rFonts w:ascii="宋体" w:hAnsi="宋体"/>
          <w:b/>
          <w:color w:val="auto"/>
          <w:sz w:val="28"/>
          <w:szCs w:val="28"/>
        </w:rPr>
      </w:pPr>
      <w:r>
        <w:rPr>
          <w:rFonts w:hint="eastAsia" w:ascii="宋体" w:hAnsi="宋体"/>
          <w:b/>
          <w:color w:val="auto"/>
          <w:sz w:val="28"/>
          <w:szCs w:val="28"/>
        </w:rPr>
        <w:t>18.响应文件的编制和签署</w:t>
      </w:r>
    </w:p>
    <w:p w14:paraId="25978F22">
      <w:pPr>
        <w:spacing w:line="400" w:lineRule="exact"/>
        <w:ind w:firstLine="548" w:firstLineChars="196"/>
        <w:rPr>
          <w:rFonts w:ascii="宋体" w:hAnsi="宋体"/>
          <w:color w:val="auto"/>
          <w:sz w:val="28"/>
          <w:szCs w:val="28"/>
        </w:rPr>
      </w:pPr>
      <w:r>
        <w:rPr>
          <w:rFonts w:hint="eastAsia" w:ascii="宋体" w:hAnsi="宋体"/>
          <w:color w:val="auto"/>
          <w:sz w:val="28"/>
          <w:szCs w:val="28"/>
        </w:rPr>
        <w:t xml:space="preserve">18.1 </w:t>
      </w:r>
      <w:r>
        <w:rPr>
          <w:rFonts w:hint="eastAsia" w:ascii="宋体" w:hAnsi="宋体" w:cs="宋体"/>
          <w:color w:val="auto"/>
          <w:sz w:val="28"/>
          <w:szCs w:val="28"/>
        </w:rPr>
        <w:t>供应商按谈判文件要求编制</w:t>
      </w:r>
      <w:r>
        <w:rPr>
          <w:rFonts w:hint="eastAsia" w:ascii="宋体" w:hAnsi="宋体"/>
          <w:color w:val="auto"/>
          <w:sz w:val="28"/>
          <w:szCs w:val="28"/>
        </w:rPr>
        <w:t>响应文件正本1份副本2份，并在其封面上清楚地标明响应文件、采购项目名称、采购项目编号、包件号及名称（若有）、供应商名称以及“正本”或“副本”字样。若正本和副本有不一致的内容，以正本书面响应文件为准。</w:t>
      </w:r>
    </w:p>
    <w:bookmarkEnd w:id="60"/>
    <w:bookmarkEnd w:id="61"/>
    <w:bookmarkEnd w:id="62"/>
    <w:p w14:paraId="37E8F023">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18.2 响应文件正本和副本均需打印或用不褪色、不变质的墨水书写，并在规定签章处签字和盖章。响应文件副本可采用正本的复印件，电子文档采用光盘或U盘制作。</w:t>
      </w:r>
    </w:p>
    <w:p w14:paraId="2C70785C">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18.3响应文件的打印和书写应清楚工整，任何行间插字、涂改或增删，必须由供应商的法定代表人或其授权代表签字并盖供应商公章。字迹潦草、表达不清或可能导致非唯一理解的响应文件可能被作为无效处理。</w:t>
      </w:r>
    </w:p>
    <w:p w14:paraId="1A2059BB">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18.4</w:t>
      </w:r>
      <w:r>
        <w:rPr>
          <w:rFonts w:hint="eastAsia" w:ascii="宋体" w:hAnsi="宋体"/>
          <w:b/>
          <w:color w:val="auto"/>
          <w:sz w:val="28"/>
          <w:szCs w:val="28"/>
        </w:rPr>
        <w:t>（实质性要求）</w:t>
      </w:r>
      <w:r>
        <w:rPr>
          <w:rFonts w:hint="eastAsia" w:ascii="宋体" w:hAnsi="宋体"/>
          <w:color w:val="auto"/>
          <w:sz w:val="28"/>
          <w:szCs w:val="28"/>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A0CAF0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18.5响应文件正本和副本需要逐页编目编码。</w:t>
      </w:r>
    </w:p>
    <w:p w14:paraId="297C23B5">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18.6</w:t>
      </w:r>
      <w:r>
        <w:rPr>
          <w:rFonts w:hint="eastAsia" w:ascii="宋体" w:hAnsi="宋体"/>
          <w:b/>
          <w:color w:val="auto"/>
          <w:sz w:val="28"/>
          <w:szCs w:val="28"/>
        </w:rPr>
        <w:t>（实质性要求）</w:t>
      </w:r>
      <w:r>
        <w:rPr>
          <w:rFonts w:hint="eastAsia" w:ascii="宋体" w:hAnsi="宋体"/>
          <w:color w:val="auto"/>
          <w:sz w:val="28"/>
          <w:szCs w:val="28"/>
        </w:rPr>
        <w:t>响应文件正本和副本应当采用胶装方式装订成册，不得散装或者合页装订。</w:t>
      </w:r>
    </w:p>
    <w:p w14:paraId="21315483">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18.7</w:t>
      </w:r>
      <w:r>
        <w:rPr>
          <w:rFonts w:hint="eastAsia" w:ascii="宋体" w:hAnsi="宋体"/>
          <w:b/>
          <w:color w:val="auto"/>
          <w:sz w:val="28"/>
          <w:szCs w:val="28"/>
        </w:rPr>
        <w:t>（实质性要求）</w:t>
      </w:r>
      <w:r>
        <w:rPr>
          <w:rFonts w:hint="eastAsia" w:ascii="宋体" w:hAnsi="宋体"/>
          <w:color w:val="auto"/>
          <w:sz w:val="28"/>
          <w:szCs w:val="28"/>
        </w:rPr>
        <w:t>响应文件应根据谈判文件的要求制作，签署、盖章。（按照《四川省政府采购评审工作规程（修订）》规范）</w:t>
      </w:r>
    </w:p>
    <w:p w14:paraId="1EBCABD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18.8响应文件统一用</w:t>
      </w:r>
      <w:r>
        <w:rPr>
          <w:rFonts w:ascii="宋体" w:hAnsi="宋体"/>
          <w:color w:val="auto"/>
          <w:sz w:val="28"/>
          <w:szCs w:val="28"/>
        </w:rPr>
        <w:t>A4</w:t>
      </w:r>
      <w:r>
        <w:rPr>
          <w:rFonts w:hint="eastAsia" w:ascii="宋体" w:hAnsi="宋体"/>
          <w:color w:val="auto"/>
          <w:sz w:val="28"/>
          <w:szCs w:val="28"/>
        </w:rPr>
        <w:t>幅面纸印制，除另有规定外。</w:t>
      </w:r>
    </w:p>
    <w:p w14:paraId="2CFBBB5C">
      <w:pPr>
        <w:tabs>
          <w:tab w:val="left" w:pos="1080"/>
        </w:tabs>
        <w:spacing w:line="400" w:lineRule="exact"/>
        <w:ind w:firstLine="537" w:firstLineChars="192"/>
        <w:rPr>
          <w:rFonts w:ascii="宋体"/>
          <w:b/>
          <w:color w:val="auto"/>
          <w:sz w:val="28"/>
          <w:szCs w:val="28"/>
        </w:rPr>
      </w:pPr>
    </w:p>
    <w:p w14:paraId="0EADBE9B">
      <w:pPr>
        <w:tabs>
          <w:tab w:val="left" w:pos="1080"/>
        </w:tabs>
        <w:spacing w:line="400" w:lineRule="exact"/>
        <w:ind w:firstLine="537" w:firstLineChars="192"/>
        <w:rPr>
          <w:rFonts w:ascii="宋体"/>
          <w:b/>
          <w:color w:val="auto"/>
          <w:sz w:val="28"/>
          <w:szCs w:val="28"/>
        </w:rPr>
      </w:pPr>
      <w:bookmarkStart w:id="63" w:name="_Toc217446053"/>
      <w:bookmarkStart w:id="64" w:name="_Toc183582226"/>
      <w:bookmarkStart w:id="65" w:name="_Toc89075877"/>
      <w:bookmarkStart w:id="66" w:name="_Toc77400781"/>
      <w:bookmarkStart w:id="67" w:name="_Toc183682363"/>
      <w:r>
        <w:rPr>
          <w:rFonts w:hint="eastAsia" w:ascii="宋体"/>
          <w:b/>
          <w:color w:val="auto"/>
          <w:sz w:val="28"/>
          <w:szCs w:val="28"/>
        </w:rPr>
        <w:t>19.响应文件的密封和标注（不属于本项目谈判小组评审范畴，由采购人、采购代理机构在接收响应文件时及时处理）</w:t>
      </w:r>
    </w:p>
    <w:p w14:paraId="3BC85882">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19.1 响应文件可以单独密封包装，也可以所有响应文件密封包装在一个密封袋内。</w:t>
      </w:r>
    </w:p>
    <w:p w14:paraId="39813023">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19.2 响应文件密封袋的最外层应清楚地标明采购项目名称、采购项目编号、包件号及名称（若有）、供应商名称。</w:t>
      </w:r>
    </w:p>
    <w:p w14:paraId="28A34397">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19.3 所有外层密封袋的封口处应粘贴牢固。</w:t>
      </w:r>
    </w:p>
    <w:p w14:paraId="6C81B541">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19.4 未按以上要求进行密封和标注的响应文件，采购人、采购代理机构将拒收或者在时间允许的范围内，要求修改完善后接收。</w:t>
      </w:r>
    </w:p>
    <w:p w14:paraId="2C924CD6">
      <w:pPr>
        <w:tabs>
          <w:tab w:val="left" w:pos="1080"/>
        </w:tabs>
        <w:spacing w:line="400" w:lineRule="exact"/>
        <w:ind w:firstLine="537" w:firstLineChars="192"/>
        <w:rPr>
          <w:rFonts w:ascii="宋体"/>
          <w:color w:val="auto"/>
          <w:sz w:val="28"/>
          <w:szCs w:val="28"/>
        </w:rPr>
      </w:pPr>
    </w:p>
    <w:p w14:paraId="79BEA398">
      <w:pPr>
        <w:tabs>
          <w:tab w:val="left" w:pos="1080"/>
        </w:tabs>
        <w:spacing w:line="400" w:lineRule="exact"/>
        <w:ind w:firstLine="537" w:firstLineChars="192"/>
        <w:rPr>
          <w:rFonts w:ascii="宋体"/>
          <w:b/>
          <w:color w:val="auto"/>
          <w:sz w:val="28"/>
          <w:szCs w:val="28"/>
        </w:rPr>
      </w:pPr>
      <w:r>
        <w:rPr>
          <w:rFonts w:hint="eastAsia" w:ascii="宋体"/>
          <w:b/>
          <w:color w:val="auto"/>
          <w:sz w:val="28"/>
          <w:szCs w:val="28"/>
        </w:rPr>
        <w:t>20.响应文件的递交</w:t>
      </w:r>
    </w:p>
    <w:p w14:paraId="260A893F">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20.1 响应文件应于递交响应文件截止时间前送达指定地点，采购代理机构拒绝接收截止时间后送达的响应文件。</w:t>
      </w:r>
    </w:p>
    <w:p w14:paraId="2BC7CBC9">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20.2 采购代理机构将向通过资格审查的供应商发出</w:t>
      </w:r>
      <w:r>
        <w:rPr>
          <w:rFonts w:hint="eastAsia" w:ascii="宋体" w:hAnsi="宋体"/>
          <w:color w:val="auto"/>
          <w:sz w:val="28"/>
          <w:szCs w:val="28"/>
        </w:rPr>
        <w:t>谈判</w:t>
      </w:r>
      <w:r>
        <w:rPr>
          <w:rFonts w:hint="eastAsia" w:ascii="宋体"/>
          <w:color w:val="auto"/>
          <w:sz w:val="28"/>
          <w:szCs w:val="28"/>
        </w:rPr>
        <w:t>邀请；告知未通过资格审查的供应商未通过的原因。</w:t>
      </w:r>
    </w:p>
    <w:p w14:paraId="05A40B02">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20.3 报价表在</w:t>
      </w:r>
      <w:r>
        <w:rPr>
          <w:rFonts w:hint="eastAsia" w:ascii="宋体" w:hAnsi="宋体"/>
          <w:color w:val="auto"/>
          <w:sz w:val="28"/>
          <w:szCs w:val="28"/>
        </w:rPr>
        <w:t>谈判</w:t>
      </w:r>
      <w:r>
        <w:rPr>
          <w:rFonts w:hint="eastAsia" w:ascii="宋体"/>
          <w:color w:val="auto"/>
          <w:sz w:val="28"/>
          <w:szCs w:val="28"/>
        </w:rPr>
        <w:t>后，</w:t>
      </w:r>
      <w:r>
        <w:rPr>
          <w:rFonts w:hint="eastAsia" w:ascii="宋体" w:hAnsi="宋体"/>
          <w:color w:val="auto"/>
          <w:sz w:val="28"/>
          <w:szCs w:val="28"/>
        </w:rPr>
        <w:t>谈判</w:t>
      </w:r>
      <w:r>
        <w:rPr>
          <w:rFonts w:hint="eastAsia" w:ascii="宋体"/>
          <w:color w:val="auto"/>
          <w:sz w:val="28"/>
          <w:szCs w:val="28"/>
        </w:rPr>
        <w:t>小组要求供应商进行最后报价时递交。</w:t>
      </w:r>
    </w:p>
    <w:p w14:paraId="0E5811EB">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20.4 本次采购不接收邮寄的响应文件。</w:t>
      </w:r>
    </w:p>
    <w:p w14:paraId="24691E1B">
      <w:pPr>
        <w:tabs>
          <w:tab w:val="left" w:pos="1080"/>
        </w:tabs>
        <w:spacing w:line="400" w:lineRule="exact"/>
        <w:ind w:firstLine="537" w:firstLineChars="192"/>
        <w:rPr>
          <w:rFonts w:ascii="宋体"/>
          <w:color w:val="auto"/>
          <w:sz w:val="28"/>
          <w:szCs w:val="28"/>
        </w:rPr>
      </w:pPr>
    </w:p>
    <w:bookmarkEnd w:id="63"/>
    <w:bookmarkEnd w:id="64"/>
    <w:bookmarkEnd w:id="65"/>
    <w:bookmarkEnd w:id="66"/>
    <w:bookmarkEnd w:id="67"/>
    <w:p w14:paraId="0A2ED673">
      <w:pPr>
        <w:tabs>
          <w:tab w:val="left" w:pos="1080"/>
        </w:tabs>
        <w:spacing w:line="400" w:lineRule="exact"/>
        <w:ind w:firstLine="537" w:firstLineChars="192"/>
        <w:rPr>
          <w:rFonts w:ascii="宋体" w:hAnsi="宋体"/>
          <w:b/>
          <w:color w:val="auto"/>
          <w:sz w:val="28"/>
          <w:szCs w:val="28"/>
        </w:rPr>
      </w:pPr>
      <w:bookmarkStart w:id="68" w:name="_Toc183682365"/>
      <w:bookmarkStart w:id="69" w:name="_Toc217446055"/>
      <w:bookmarkStart w:id="70" w:name="_Toc183582228"/>
      <w:r>
        <w:rPr>
          <w:rFonts w:hint="eastAsia" w:ascii="宋体" w:hAnsi="宋体"/>
          <w:b/>
          <w:color w:val="auto"/>
          <w:sz w:val="28"/>
          <w:szCs w:val="28"/>
        </w:rPr>
        <w:t>21.响应文件的修改和撤回（补充、修改响应文件的</w:t>
      </w:r>
      <w:r>
        <w:rPr>
          <w:rFonts w:hint="eastAsia" w:ascii="宋体"/>
          <w:b/>
          <w:color w:val="auto"/>
          <w:sz w:val="28"/>
          <w:szCs w:val="28"/>
        </w:rPr>
        <w:t>密封和标注按照本章“19.响应文件的密封和标注”规定处理</w:t>
      </w:r>
      <w:r>
        <w:rPr>
          <w:rFonts w:hint="eastAsia" w:ascii="宋体" w:hAnsi="宋体"/>
          <w:b/>
          <w:color w:val="auto"/>
          <w:sz w:val="28"/>
          <w:szCs w:val="28"/>
        </w:rPr>
        <w:t>）</w:t>
      </w:r>
    </w:p>
    <w:p w14:paraId="3C13236A">
      <w:pPr>
        <w:pStyle w:val="12"/>
        <w:spacing w:line="400" w:lineRule="exact"/>
        <w:ind w:firstLine="56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E465968">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2供应商对响应文件修改的书面材料或撤回的通知应该按规定进行编写、密封、标注和递送，并注明“修改响应文件”字样。</w:t>
      </w:r>
    </w:p>
    <w:p w14:paraId="3831B4F5">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3 供应商不得在递交截止时间起至响应文件有效期期满前撤回其响应文件。否则其谈判保证金将按“第二部分供应商采购须知7”的相关规定被没收。</w:t>
      </w:r>
    </w:p>
    <w:p w14:paraId="1059C0CD">
      <w:pPr>
        <w:spacing w:line="400" w:lineRule="exact"/>
        <w:ind w:firstLine="480"/>
        <w:rPr>
          <w:rFonts w:hAnsi="宋体"/>
          <w:color w:val="auto"/>
          <w:sz w:val="28"/>
          <w:szCs w:val="28"/>
        </w:rPr>
      </w:pPr>
      <w:r>
        <w:rPr>
          <w:rFonts w:hint="eastAsia" w:ascii="宋体" w:hAnsi="宋体"/>
          <w:color w:val="auto"/>
          <w:sz w:val="28"/>
          <w:szCs w:val="28"/>
        </w:rPr>
        <w:t>21.4 响应文件中报</w:t>
      </w:r>
      <w:r>
        <w:rPr>
          <w:rFonts w:hint="eastAsia" w:hAnsi="宋体"/>
          <w:color w:val="auto"/>
          <w:sz w:val="28"/>
          <w:szCs w:val="28"/>
        </w:rPr>
        <w:t>价如果出现下列不一致的，可按以下原则进行修改：</w:t>
      </w:r>
    </w:p>
    <w:p w14:paraId="734882A6">
      <w:pPr>
        <w:spacing w:line="400" w:lineRule="exact"/>
        <w:ind w:firstLine="480"/>
        <w:rPr>
          <w:rFonts w:ascii="宋体" w:hAnsi="宋体"/>
          <w:color w:val="auto"/>
          <w:sz w:val="28"/>
          <w:szCs w:val="28"/>
        </w:rPr>
      </w:pPr>
      <w:r>
        <w:rPr>
          <w:rFonts w:hint="eastAsia" w:ascii="宋体" w:hAnsi="宋体"/>
          <w:color w:val="auto"/>
          <w:sz w:val="28"/>
          <w:szCs w:val="28"/>
        </w:rPr>
        <w:t>（一）</w:t>
      </w:r>
      <w:r>
        <w:rPr>
          <w:rFonts w:hint="eastAsia" w:ascii="宋体" w:hAnsi="宋体" w:cs="宋体"/>
          <w:color w:val="auto"/>
          <w:kern w:val="0"/>
          <w:sz w:val="28"/>
          <w:szCs w:val="28"/>
        </w:rPr>
        <w:t>大写金额和小写金额不一致的，以大写金额为准</w:t>
      </w:r>
      <w:r>
        <w:rPr>
          <w:rFonts w:hint="eastAsia" w:ascii="宋体" w:hAnsi="宋体"/>
          <w:color w:val="auto"/>
          <w:sz w:val="28"/>
          <w:szCs w:val="28"/>
        </w:rPr>
        <w:t>，但大写金额文字存在错误的，应当先对大写金额的文字错误进行澄清、说明或者更正，再行修正。</w:t>
      </w:r>
    </w:p>
    <w:p w14:paraId="71516BAD">
      <w:pPr>
        <w:spacing w:line="400" w:lineRule="exact"/>
        <w:ind w:firstLine="480"/>
        <w:rPr>
          <w:rFonts w:ascii="宋体" w:hAnsi="宋体"/>
          <w:color w:val="auto"/>
          <w:sz w:val="28"/>
          <w:szCs w:val="28"/>
        </w:rPr>
      </w:pPr>
      <w:r>
        <w:rPr>
          <w:rFonts w:hint="eastAsia" w:ascii="宋体" w:hAnsi="宋体"/>
          <w:color w:val="auto"/>
          <w:sz w:val="28"/>
          <w:szCs w:val="28"/>
        </w:rPr>
        <w:t>（二）</w:t>
      </w:r>
      <w:r>
        <w:rPr>
          <w:rFonts w:hint="eastAsia" w:ascii="宋体" w:hAnsi="宋体" w:cs="宋体"/>
          <w:color w:val="auto"/>
          <w:kern w:val="0"/>
          <w:sz w:val="28"/>
          <w:szCs w:val="28"/>
        </w:rPr>
        <w:t>总价金额与按单价汇总金额不一致的，以单价金额计算结果为准，</w:t>
      </w:r>
      <w:r>
        <w:rPr>
          <w:rFonts w:hint="eastAsia" w:ascii="宋体" w:hAnsi="宋体"/>
          <w:color w:val="auto"/>
          <w:sz w:val="28"/>
          <w:szCs w:val="28"/>
        </w:rPr>
        <w:t>但</w:t>
      </w:r>
      <w:r>
        <w:rPr>
          <w:rFonts w:hint="eastAsia" w:ascii="宋体" w:hAnsi="宋体" w:cs="宋体"/>
          <w:color w:val="auto"/>
          <w:kern w:val="0"/>
          <w:sz w:val="28"/>
          <w:szCs w:val="28"/>
        </w:rPr>
        <w:t>单价或者单价汇总金额存在数字或者</w:t>
      </w:r>
      <w:r>
        <w:rPr>
          <w:rFonts w:hint="eastAsia" w:ascii="宋体" w:hAnsi="宋体"/>
          <w:color w:val="auto"/>
          <w:sz w:val="28"/>
          <w:szCs w:val="28"/>
        </w:rPr>
        <w:t>文字错误的，应当先对</w:t>
      </w:r>
      <w:r>
        <w:rPr>
          <w:rFonts w:hint="eastAsia" w:ascii="宋体" w:hAnsi="宋体" w:cs="宋体"/>
          <w:color w:val="auto"/>
          <w:kern w:val="0"/>
          <w:sz w:val="28"/>
          <w:szCs w:val="28"/>
        </w:rPr>
        <w:t>数字或者</w:t>
      </w:r>
      <w:r>
        <w:rPr>
          <w:rFonts w:hint="eastAsia" w:ascii="宋体" w:hAnsi="宋体"/>
          <w:color w:val="auto"/>
          <w:sz w:val="28"/>
          <w:szCs w:val="28"/>
        </w:rPr>
        <w:t>文字错误进行澄清、说明或者更正，再行修正。</w:t>
      </w:r>
    </w:p>
    <w:p w14:paraId="3C88CAA1">
      <w:pPr>
        <w:spacing w:line="400" w:lineRule="exact"/>
        <w:ind w:firstLine="480"/>
        <w:rPr>
          <w:rFonts w:ascii="宋体" w:hAnsi="宋体"/>
          <w:color w:val="auto"/>
          <w:sz w:val="28"/>
          <w:szCs w:val="28"/>
        </w:rPr>
      </w:pPr>
      <w:r>
        <w:rPr>
          <w:rFonts w:hint="eastAsia" w:ascii="宋体" w:hAnsi="宋体"/>
          <w:color w:val="auto"/>
          <w:sz w:val="28"/>
          <w:szCs w:val="28"/>
        </w:rPr>
        <w:t>（三）单价金额小数点</w:t>
      </w:r>
      <w:r>
        <w:rPr>
          <w:rFonts w:hint="eastAsia" w:ascii="宋体" w:hAnsi="宋体" w:cs="宋体"/>
          <w:color w:val="auto"/>
          <w:kern w:val="0"/>
          <w:sz w:val="28"/>
          <w:szCs w:val="28"/>
        </w:rPr>
        <w:t>或者百分比有明显错位的</w:t>
      </w:r>
      <w:r>
        <w:rPr>
          <w:rFonts w:hint="eastAsia" w:ascii="宋体" w:hAnsi="宋体"/>
          <w:color w:val="auto"/>
          <w:sz w:val="28"/>
          <w:szCs w:val="28"/>
        </w:rPr>
        <w:t>，以总价为准，修正单价。</w:t>
      </w:r>
    </w:p>
    <w:p w14:paraId="277D8B98">
      <w:pPr>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214F167">
      <w:pPr>
        <w:spacing w:line="400" w:lineRule="exact"/>
        <w:ind w:firstLine="480"/>
        <w:rPr>
          <w:rFonts w:ascii="宋体"/>
          <w:color w:val="auto"/>
          <w:sz w:val="28"/>
          <w:szCs w:val="28"/>
        </w:rPr>
      </w:pPr>
      <w:r>
        <w:rPr>
          <w:rFonts w:hint="eastAsia" w:ascii="宋体" w:hAnsi="宋体"/>
          <w:color w:val="auto"/>
          <w:sz w:val="28"/>
          <w:szCs w:val="28"/>
        </w:rPr>
        <w:t>21.5 供</w:t>
      </w:r>
      <w:r>
        <w:rPr>
          <w:rFonts w:hint="eastAsia"/>
          <w:color w:val="auto"/>
          <w:sz w:val="28"/>
          <w:szCs w:val="28"/>
        </w:rPr>
        <w:t>应商对其提交的响应文件的真实性、合法性承担法律责任。</w:t>
      </w:r>
      <w:bookmarkEnd w:id="68"/>
      <w:bookmarkEnd w:id="69"/>
      <w:bookmarkEnd w:id="70"/>
    </w:p>
    <w:p w14:paraId="7F36525D">
      <w:pPr>
        <w:pStyle w:val="3"/>
        <w:keepNext w:val="0"/>
        <w:keepLines w:val="0"/>
        <w:spacing w:line="400" w:lineRule="exact"/>
        <w:jc w:val="center"/>
        <w:rPr>
          <w:color w:val="auto"/>
          <w:sz w:val="28"/>
          <w:szCs w:val="28"/>
        </w:rPr>
      </w:pPr>
      <w:r>
        <w:rPr>
          <w:rFonts w:hint="eastAsia"/>
          <w:color w:val="auto"/>
          <w:sz w:val="28"/>
          <w:szCs w:val="28"/>
        </w:rPr>
        <w:t>五、评审</w:t>
      </w:r>
    </w:p>
    <w:p w14:paraId="3F686DE0">
      <w:pPr>
        <w:pStyle w:val="3"/>
        <w:keepNext w:val="0"/>
        <w:keepLines w:val="0"/>
        <w:spacing w:line="400" w:lineRule="exact"/>
        <w:ind w:firstLine="560" w:firstLineChars="200"/>
        <w:rPr>
          <w:rFonts w:ascii="宋体" w:hAnsi="宋体" w:eastAsia="宋体"/>
          <w:b w:val="0"/>
          <w:color w:val="auto"/>
          <w:sz w:val="28"/>
          <w:szCs w:val="28"/>
        </w:rPr>
      </w:pPr>
      <w:r>
        <w:rPr>
          <w:rFonts w:hint="eastAsia" w:ascii="宋体" w:hAnsi="宋体" w:eastAsia="宋体"/>
          <w:color w:val="auto"/>
          <w:sz w:val="28"/>
          <w:szCs w:val="28"/>
        </w:rPr>
        <w:t>22.</w:t>
      </w:r>
      <w:r>
        <w:rPr>
          <w:rFonts w:hint="eastAsia" w:ascii="宋体" w:hAnsi="宋体" w:eastAsia="宋体"/>
          <w:b w:val="0"/>
          <w:color w:val="auto"/>
          <w:sz w:val="28"/>
          <w:szCs w:val="28"/>
        </w:rPr>
        <w:t xml:space="preserve"> 谈判小组的组建及其评审工作按照有关法律制度和本文件第九章的规定进行。</w:t>
      </w:r>
    </w:p>
    <w:p w14:paraId="354A8AB5">
      <w:pPr>
        <w:pStyle w:val="3"/>
        <w:keepNext w:val="0"/>
        <w:keepLines w:val="0"/>
        <w:spacing w:line="400" w:lineRule="exact"/>
        <w:jc w:val="center"/>
        <w:rPr>
          <w:rFonts w:ascii="黑体" w:hAnsi="宋体"/>
          <w:color w:val="auto"/>
          <w:sz w:val="28"/>
          <w:szCs w:val="28"/>
        </w:rPr>
      </w:pPr>
      <w:r>
        <w:rPr>
          <w:rFonts w:hint="eastAsia" w:ascii="黑体" w:hAnsi="宋体"/>
          <w:color w:val="auto"/>
          <w:sz w:val="28"/>
          <w:szCs w:val="28"/>
        </w:rPr>
        <w:t>六、成交事项</w:t>
      </w:r>
    </w:p>
    <w:p w14:paraId="6FE45975">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23.确定成交供应商</w:t>
      </w:r>
    </w:p>
    <w:p w14:paraId="056A218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采购人将按谈判小组推荐的成交候选供应商顺序确定成交供应商。</w:t>
      </w:r>
    </w:p>
    <w:p w14:paraId="4F9BE75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23.1采购代理机构自评审结束后2个工作日内将谈判报告及有关资料送交采购人确定成交供应商。</w:t>
      </w:r>
    </w:p>
    <w:p w14:paraId="5817F47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2A30DACA">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23.3采购人确定成交供应商过程中，发现成交候选供应商有下列情形之一的，应当不予确定其为成交供应商：</w:t>
      </w:r>
    </w:p>
    <w:p w14:paraId="3BEA6B9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（1）发现成交候选供应商存在禁止参加本项目采购活动的违法行为的；</w:t>
      </w:r>
    </w:p>
    <w:p w14:paraId="11C1345D">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（2）成交候选供应商因不可抗力，不能继续参加政府采购活动。</w:t>
      </w:r>
    </w:p>
    <w:p w14:paraId="6A59E6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（3）成交候选供应商无偿赠与或者低于成本价竞争；</w:t>
      </w:r>
    </w:p>
    <w:p w14:paraId="54FCFFE1">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（4）成交候选供应商提供虚假材料；</w:t>
      </w:r>
    </w:p>
    <w:p w14:paraId="569A0F9C">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（5）成交候选供应商恶意串通。</w:t>
      </w:r>
    </w:p>
    <w:p w14:paraId="1D1A8B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成交候选供应商有本条情形之一的，采购人可以确定后一位成交候选供应商为成交供应商，依次类推。无法确定成交供应商的，应当重新组织采购。</w:t>
      </w:r>
    </w:p>
    <w:p w14:paraId="2CB37FA0">
      <w:pPr>
        <w:rPr>
          <w:color w:val="auto"/>
          <w:sz w:val="28"/>
          <w:szCs w:val="28"/>
        </w:rPr>
      </w:pPr>
    </w:p>
    <w:p w14:paraId="56860A08">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24.成交结果</w:t>
      </w:r>
    </w:p>
    <w:p w14:paraId="40B1A123">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24.1采购人确定成交供应商后，将及时书面通知采购代理机构，发出成交通知书并发布成交结果公告。</w:t>
      </w:r>
    </w:p>
    <w:p w14:paraId="72B62953">
      <w:pPr>
        <w:ind w:firstLine="465"/>
        <w:rPr>
          <w:rFonts w:ascii="宋体" w:hAnsi="宋体"/>
          <w:color w:val="auto"/>
          <w:sz w:val="28"/>
          <w:szCs w:val="28"/>
        </w:rPr>
      </w:pPr>
      <w:r>
        <w:rPr>
          <w:rFonts w:hint="eastAsia" w:ascii="宋体" w:hAnsi="宋体"/>
          <w:color w:val="auto"/>
          <w:sz w:val="28"/>
          <w:szCs w:val="28"/>
        </w:rPr>
        <w:t>24.2成交供应商应当及时领取成交通知书。</w:t>
      </w:r>
    </w:p>
    <w:p w14:paraId="60B4E092">
      <w:pPr>
        <w:ind w:firstLine="560" w:firstLineChars="200"/>
        <w:rPr>
          <w:rFonts w:ascii="宋体" w:hAnsi="宋体"/>
          <w:color w:val="auto"/>
          <w:sz w:val="28"/>
          <w:szCs w:val="28"/>
        </w:rPr>
      </w:pPr>
      <w:r>
        <w:rPr>
          <w:rFonts w:hint="eastAsia" w:ascii="宋体" w:hAnsi="宋体"/>
          <w:color w:val="auto"/>
          <w:sz w:val="28"/>
          <w:szCs w:val="28"/>
        </w:rPr>
        <w:t>24.3成交供应商不能及时领取成交通知书，采购人或者采购代理机构应当通过邮寄、快递等方式将项目成交通知书送达成交供应商。</w:t>
      </w:r>
    </w:p>
    <w:p w14:paraId="6CB0F683">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25.成交通知书</w:t>
      </w:r>
    </w:p>
    <w:p w14:paraId="1C91F197">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25.1成交通知书为签订政府采购合同的依据之一，是合同的有效组成部分。</w:t>
      </w:r>
    </w:p>
    <w:p w14:paraId="5043510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25.2成交通知书对采购人和成交供应商均具有法律效力。成交通知书发出后，采购人无正当理由改变成交结果，或者成交供应商无正当理由放弃成交的，将承担相应的法律责任。</w:t>
      </w:r>
    </w:p>
    <w:p w14:paraId="0AE1D6C5">
      <w:pPr>
        <w:pStyle w:val="3"/>
        <w:keepNext w:val="0"/>
        <w:keepLines w:val="0"/>
        <w:spacing w:before="0" w:after="0" w:line="400" w:lineRule="exact"/>
        <w:ind w:firstLine="560" w:firstLineChars="200"/>
        <w:rPr>
          <w:color w:val="auto"/>
          <w:sz w:val="28"/>
          <w:szCs w:val="28"/>
        </w:rPr>
      </w:pPr>
      <w:r>
        <w:rPr>
          <w:rFonts w:hint="eastAsia" w:ascii="宋体" w:hAnsi="宋体" w:eastAsia="宋体"/>
          <w:b w:val="0"/>
          <w:color w:val="auto"/>
          <w:sz w:val="28"/>
          <w:szCs w:val="28"/>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FFA018E">
      <w:pPr>
        <w:pStyle w:val="3"/>
        <w:keepNext w:val="0"/>
        <w:keepLines w:val="0"/>
        <w:spacing w:line="400" w:lineRule="exact"/>
        <w:jc w:val="center"/>
        <w:rPr>
          <w:color w:val="auto"/>
          <w:sz w:val="28"/>
          <w:szCs w:val="28"/>
        </w:rPr>
      </w:pPr>
      <w:r>
        <w:rPr>
          <w:rFonts w:hint="eastAsia"/>
          <w:color w:val="auto"/>
          <w:sz w:val="28"/>
          <w:szCs w:val="28"/>
        </w:rPr>
        <w:t>七、合同事项</w:t>
      </w:r>
    </w:p>
    <w:p w14:paraId="4C16D75F">
      <w:pPr>
        <w:pStyle w:val="3"/>
        <w:keepNext w:val="0"/>
        <w:keepLines w:val="0"/>
        <w:spacing w:before="0" w:after="0" w:line="400" w:lineRule="exact"/>
        <w:ind w:firstLine="548" w:firstLineChars="196"/>
        <w:rPr>
          <w:rFonts w:ascii="宋体" w:hAnsi="宋体" w:eastAsia="宋体"/>
          <w:color w:val="auto"/>
          <w:sz w:val="28"/>
          <w:szCs w:val="28"/>
        </w:rPr>
      </w:pPr>
      <w:bookmarkStart w:id="71" w:name="_Toc430773927"/>
      <w:bookmarkStart w:id="72" w:name="_Toc209847069"/>
      <w:bookmarkStart w:id="73" w:name="_Toc101338364"/>
      <w:bookmarkStart w:id="74" w:name="_Toc101250646"/>
      <w:bookmarkStart w:id="75" w:name="_Toc101174151"/>
      <w:r>
        <w:rPr>
          <w:rFonts w:hint="eastAsia" w:ascii="宋体" w:hAnsi="宋体" w:eastAsia="宋体"/>
          <w:color w:val="auto"/>
          <w:sz w:val="28"/>
          <w:szCs w:val="28"/>
        </w:rPr>
        <w:t>26.签订合同</w:t>
      </w:r>
      <w:bookmarkEnd w:id="71"/>
      <w:bookmarkEnd w:id="72"/>
      <w:bookmarkEnd w:id="73"/>
      <w:bookmarkEnd w:id="74"/>
      <w:bookmarkEnd w:id="75"/>
    </w:p>
    <w:p w14:paraId="7E26C583">
      <w:pPr>
        <w:spacing w:line="400" w:lineRule="exact"/>
        <w:ind w:firstLine="560" w:firstLineChars="200"/>
        <w:rPr>
          <w:rFonts w:ascii="宋体" w:hAnsi="宋体"/>
          <w:color w:val="auto"/>
          <w:sz w:val="28"/>
          <w:szCs w:val="28"/>
        </w:rPr>
      </w:pPr>
      <w:r>
        <w:rPr>
          <w:rFonts w:hint="eastAsia" w:ascii="宋体" w:hAnsi="宋体"/>
          <w:color w:val="auto"/>
          <w:sz w:val="28"/>
          <w:szCs w:val="28"/>
        </w:rPr>
        <w:t>26.1 成交供应商应在成交通知书发出之日起三十日内与采购人签订采购合同。由于成交供应商的原因逾期未与采购人签订采购合同的，将视为放弃成交，取消其成交资格并将按相关规定进行处理。</w:t>
      </w:r>
    </w:p>
    <w:p w14:paraId="40D03502">
      <w:pPr>
        <w:spacing w:line="400" w:lineRule="exact"/>
        <w:ind w:firstLine="560" w:firstLineChars="200"/>
        <w:rPr>
          <w:rFonts w:ascii="宋体" w:hAnsi="宋体"/>
          <w:color w:val="auto"/>
          <w:sz w:val="28"/>
          <w:szCs w:val="28"/>
        </w:rPr>
      </w:pPr>
      <w:r>
        <w:rPr>
          <w:rFonts w:hint="eastAsia" w:ascii="宋体" w:hAnsi="宋体"/>
          <w:color w:val="auto"/>
          <w:sz w:val="28"/>
          <w:szCs w:val="28"/>
        </w:rPr>
        <w:t>26.2 谈判文件、成交供应商的响应文件及双方确认的澄清文件等，均为有法律约束力的经济合同的组成部分。</w:t>
      </w:r>
    </w:p>
    <w:p w14:paraId="7B16C1D2">
      <w:pPr>
        <w:spacing w:line="400" w:lineRule="exact"/>
        <w:ind w:firstLine="560" w:firstLineChars="200"/>
        <w:rPr>
          <w:rFonts w:hAnsi="宋体"/>
          <w:color w:val="auto"/>
          <w:sz w:val="28"/>
          <w:szCs w:val="28"/>
        </w:rPr>
      </w:pPr>
      <w:r>
        <w:rPr>
          <w:rFonts w:hint="eastAsia" w:ascii="宋体" w:hAnsi="宋体"/>
          <w:color w:val="auto"/>
          <w:sz w:val="28"/>
          <w:szCs w:val="28"/>
        </w:rPr>
        <w:t>26.3 采购</w:t>
      </w:r>
      <w:r>
        <w:rPr>
          <w:rFonts w:hint="eastAsia" w:hAnsi="宋体"/>
          <w:color w:val="auto"/>
          <w:sz w:val="28"/>
          <w:szCs w:val="28"/>
        </w:rPr>
        <w:t>人不得向成交供应商提出任何不合理的要求，作为签订合同的条件，不得与成交供应商私下订立背离合同实质性内容的任何协议，所签订的合同不得对谈判文件和成交供应商响应文件确定的事项进行修改。</w:t>
      </w:r>
    </w:p>
    <w:p w14:paraId="0E3EF3FB">
      <w:pPr>
        <w:spacing w:line="400" w:lineRule="exact"/>
        <w:ind w:firstLine="560" w:firstLineChars="200"/>
        <w:rPr>
          <w:rFonts w:ascii="宋体" w:hAnsi="宋体"/>
          <w:color w:val="auto"/>
          <w:sz w:val="28"/>
          <w:szCs w:val="28"/>
        </w:rPr>
      </w:pPr>
      <w:r>
        <w:rPr>
          <w:rFonts w:hint="eastAsia" w:ascii="宋体" w:hAnsi="宋体"/>
          <w:color w:val="auto"/>
          <w:sz w:val="28"/>
          <w:szCs w:val="28"/>
        </w:rPr>
        <w:t>26.4 成交供应商因不可抗力原因不能履行采购合同或放弃成交的，采购人可以与排在成交供应商之后第一位的成交候选人签订采购合同，以此类推。</w:t>
      </w:r>
    </w:p>
    <w:p w14:paraId="7FE2E52B">
      <w:pPr>
        <w:spacing w:line="400" w:lineRule="exact"/>
        <w:ind w:firstLine="560" w:firstLineChars="200"/>
        <w:rPr>
          <w:rFonts w:hAnsi="宋体"/>
          <w:color w:val="auto"/>
          <w:sz w:val="28"/>
          <w:szCs w:val="28"/>
        </w:rPr>
      </w:pPr>
      <w:r>
        <w:rPr>
          <w:rFonts w:hint="eastAsia" w:ascii="宋体" w:hAnsi="宋体"/>
          <w:color w:val="auto"/>
          <w:sz w:val="28"/>
          <w:szCs w:val="28"/>
        </w:rPr>
        <w:t xml:space="preserve">26.5 </w:t>
      </w:r>
      <w:r>
        <w:rPr>
          <w:rFonts w:hint="eastAsia" w:hAnsi="宋体"/>
          <w:color w:val="auto"/>
          <w:sz w:val="28"/>
          <w:szCs w:val="28"/>
        </w:rPr>
        <w:t>竞争性</w:t>
      </w:r>
      <w:r>
        <w:rPr>
          <w:rFonts w:hint="eastAsia" w:ascii="宋体" w:hAnsi="宋体"/>
          <w:color w:val="auto"/>
          <w:sz w:val="28"/>
          <w:szCs w:val="28"/>
        </w:rPr>
        <w:t>谈判</w:t>
      </w:r>
      <w:r>
        <w:rPr>
          <w:rFonts w:hint="eastAsia" w:hAnsi="宋体"/>
          <w:color w:val="auto"/>
          <w:sz w:val="28"/>
          <w:szCs w:val="28"/>
        </w:rPr>
        <w:t>文件、成交供应商提交的响应文件、</w:t>
      </w:r>
      <w:r>
        <w:rPr>
          <w:rFonts w:hint="eastAsia" w:ascii="宋体" w:hAnsi="宋体"/>
          <w:color w:val="auto"/>
          <w:sz w:val="28"/>
          <w:szCs w:val="28"/>
        </w:rPr>
        <w:t>谈判</w:t>
      </w:r>
      <w:r>
        <w:rPr>
          <w:rFonts w:hint="eastAsia" w:hAnsi="宋体"/>
          <w:color w:val="auto"/>
          <w:sz w:val="28"/>
          <w:szCs w:val="28"/>
        </w:rPr>
        <w:t>中的最后报价、成交供应商承诺书、成交通知书等均称为有法律约束力的合同组成内容。</w:t>
      </w:r>
    </w:p>
    <w:p w14:paraId="69A25EA2">
      <w:pPr>
        <w:spacing w:line="400" w:lineRule="exact"/>
        <w:ind w:firstLine="560" w:firstLineChars="200"/>
        <w:rPr>
          <w:rFonts w:hAnsi="宋体"/>
          <w:color w:val="auto"/>
          <w:sz w:val="28"/>
          <w:szCs w:val="28"/>
        </w:rPr>
      </w:pPr>
    </w:p>
    <w:p w14:paraId="25BB3D4A">
      <w:pPr>
        <w:spacing w:line="400" w:lineRule="exact"/>
        <w:ind w:firstLine="560" w:firstLineChars="200"/>
        <w:rPr>
          <w:rFonts w:ascii="宋体" w:hAnsi="宋体"/>
          <w:b/>
          <w:color w:val="auto"/>
          <w:sz w:val="28"/>
          <w:szCs w:val="28"/>
        </w:rPr>
      </w:pPr>
      <w:r>
        <w:rPr>
          <w:rFonts w:hint="eastAsia" w:ascii="宋体" w:hAnsi="宋体"/>
          <w:b/>
          <w:color w:val="auto"/>
          <w:sz w:val="28"/>
          <w:szCs w:val="28"/>
        </w:rPr>
        <w:t>27.合同分包（实质性要求）</w:t>
      </w:r>
    </w:p>
    <w:p w14:paraId="1CBFCF7F">
      <w:pPr>
        <w:spacing w:line="400" w:lineRule="exact"/>
        <w:ind w:firstLine="560" w:firstLineChars="200"/>
        <w:rPr>
          <w:rFonts w:ascii="宋体" w:hAnsi="宋体"/>
          <w:color w:val="auto"/>
          <w:sz w:val="28"/>
          <w:szCs w:val="28"/>
        </w:rPr>
      </w:pPr>
      <w:r>
        <w:rPr>
          <w:rFonts w:hint="eastAsia" w:ascii="宋体" w:hAnsi="宋体"/>
          <w:color w:val="auto"/>
          <w:sz w:val="28"/>
          <w:szCs w:val="28"/>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4B682D82">
      <w:pPr>
        <w:spacing w:line="400" w:lineRule="exact"/>
        <w:ind w:firstLine="560" w:firstLineChars="200"/>
        <w:rPr>
          <w:rFonts w:ascii="宋体" w:hAnsi="宋体"/>
          <w:color w:val="auto"/>
          <w:sz w:val="28"/>
          <w:szCs w:val="28"/>
        </w:rPr>
      </w:pPr>
      <w:r>
        <w:rPr>
          <w:rFonts w:hint="eastAsia" w:ascii="宋体" w:hAnsi="宋体"/>
          <w:color w:val="auto"/>
          <w:sz w:val="28"/>
          <w:szCs w:val="28"/>
        </w:rPr>
        <w:t>分包履行合同的部分应当为采购项目的非主体、非关键性工作，不属于成交供应商的主要合同义务。</w:t>
      </w:r>
    </w:p>
    <w:p w14:paraId="6EDC0330">
      <w:pPr>
        <w:spacing w:line="400" w:lineRule="exact"/>
        <w:ind w:firstLine="560" w:firstLineChars="200"/>
        <w:rPr>
          <w:rFonts w:ascii="宋体" w:hAnsi="宋体"/>
          <w:color w:val="auto"/>
          <w:sz w:val="28"/>
          <w:szCs w:val="28"/>
        </w:rPr>
      </w:pPr>
      <w:r>
        <w:rPr>
          <w:rFonts w:hint="eastAsia" w:ascii="宋体" w:hAnsi="宋体"/>
          <w:color w:val="auto"/>
          <w:sz w:val="28"/>
          <w:szCs w:val="28"/>
        </w:rPr>
        <w:t>27.2 采购合同实行分包履行的，成交供应商就采购项目和分包项目向采购人负责，分包供应商就分包项目承担责任。</w:t>
      </w:r>
    </w:p>
    <w:p w14:paraId="615C16E6">
      <w:pPr>
        <w:spacing w:line="400" w:lineRule="exact"/>
        <w:ind w:firstLine="560" w:firstLineChars="200"/>
        <w:rPr>
          <w:rFonts w:hAnsi="宋体"/>
          <w:color w:val="auto"/>
          <w:sz w:val="28"/>
          <w:szCs w:val="28"/>
        </w:rPr>
      </w:pPr>
      <w:r>
        <w:rPr>
          <w:rFonts w:hint="eastAsia" w:ascii="宋体" w:hAnsi="宋体"/>
          <w:color w:val="auto"/>
          <w:sz w:val="28"/>
          <w:szCs w:val="28"/>
        </w:rPr>
        <w:t xml:space="preserve">27.3 </w:t>
      </w:r>
      <w:r>
        <w:rPr>
          <w:rFonts w:hint="eastAsia" w:ascii="宋体" w:hAnsi="宋体" w:cs="宋体"/>
          <w:color w:val="auto"/>
          <w:sz w:val="28"/>
          <w:szCs w:val="28"/>
        </w:rPr>
        <w:t>中小企业依据《政府采购促进中小企业发展管理办法》（财库〔2020〕46号）规定的政策获取采购合同后，小型、微型企业不得分包或转包给大型、中型企业，中型企业不得分包或转包给大型企业。</w:t>
      </w:r>
    </w:p>
    <w:p w14:paraId="197F9EDE">
      <w:pPr>
        <w:spacing w:line="400" w:lineRule="exact"/>
        <w:ind w:firstLine="560" w:firstLineChars="200"/>
        <w:rPr>
          <w:rFonts w:ascii="宋体" w:hAnsi="宋体"/>
          <w:b/>
          <w:color w:val="auto"/>
          <w:sz w:val="28"/>
          <w:szCs w:val="28"/>
        </w:rPr>
      </w:pPr>
      <w:r>
        <w:rPr>
          <w:rFonts w:hint="eastAsia" w:ascii="宋体" w:hAnsi="宋体"/>
          <w:b/>
          <w:color w:val="auto"/>
          <w:sz w:val="28"/>
          <w:szCs w:val="28"/>
        </w:rPr>
        <w:t>28.合同转包（实质性要求）</w:t>
      </w:r>
    </w:p>
    <w:p w14:paraId="2AF16706">
      <w:pPr>
        <w:spacing w:line="400" w:lineRule="exact"/>
        <w:ind w:firstLine="560" w:firstLineChars="200"/>
        <w:rPr>
          <w:rFonts w:hAnsi="宋体"/>
          <w:color w:val="auto"/>
          <w:sz w:val="28"/>
          <w:szCs w:val="28"/>
        </w:rPr>
      </w:pPr>
      <w:r>
        <w:rPr>
          <w:rFonts w:hint="eastAsia" w:hAnsi="宋体"/>
          <w:color w:val="auto"/>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0EA90B9">
      <w:pPr>
        <w:spacing w:line="400" w:lineRule="exact"/>
        <w:ind w:firstLine="560" w:firstLineChars="200"/>
        <w:rPr>
          <w:rFonts w:hAnsi="宋体"/>
          <w:color w:val="auto"/>
          <w:sz w:val="28"/>
          <w:szCs w:val="28"/>
        </w:rPr>
      </w:pPr>
      <w:r>
        <w:rPr>
          <w:rFonts w:hint="eastAsia" w:hAnsi="宋体"/>
          <w:color w:val="auto"/>
          <w:sz w:val="28"/>
          <w:szCs w:val="28"/>
        </w:rPr>
        <w:t>成交供应商转包的，视同拒绝履行政府采购合同义务，将依法追究法律责任。</w:t>
      </w:r>
    </w:p>
    <w:p w14:paraId="2BE06241">
      <w:pPr>
        <w:spacing w:line="400" w:lineRule="exact"/>
        <w:ind w:firstLine="560" w:firstLineChars="200"/>
        <w:rPr>
          <w:rFonts w:hAnsi="宋体"/>
          <w:color w:val="auto"/>
          <w:sz w:val="28"/>
          <w:szCs w:val="28"/>
        </w:rPr>
      </w:pPr>
    </w:p>
    <w:p w14:paraId="0E5EA88E">
      <w:pPr>
        <w:spacing w:line="400" w:lineRule="exact"/>
        <w:ind w:firstLine="560" w:firstLineChars="200"/>
        <w:rPr>
          <w:rFonts w:ascii="宋体" w:hAnsi="宋体"/>
          <w:b/>
          <w:color w:val="auto"/>
          <w:sz w:val="28"/>
          <w:szCs w:val="28"/>
        </w:rPr>
      </w:pPr>
      <w:r>
        <w:rPr>
          <w:rFonts w:hint="eastAsia" w:ascii="宋体" w:hAnsi="宋体"/>
          <w:b/>
          <w:color w:val="auto"/>
          <w:sz w:val="28"/>
          <w:szCs w:val="28"/>
        </w:rPr>
        <w:t>29.补充合同</w:t>
      </w:r>
    </w:p>
    <w:p w14:paraId="2C53DC6B">
      <w:pPr>
        <w:spacing w:line="400" w:lineRule="exact"/>
        <w:ind w:firstLine="560" w:firstLineChars="200"/>
        <w:rPr>
          <w:rFonts w:hAnsi="宋体"/>
          <w:color w:val="auto"/>
          <w:sz w:val="28"/>
          <w:szCs w:val="28"/>
        </w:rPr>
      </w:pPr>
      <w:r>
        <w:rPr>
          <w:rFonts w:hint="eastAsia" w:hAnsi="宋体"/>
          <w:color w:val="auto"/>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73A1833A">
      <w:pPr>
        <w:spacing w:line="400" w:lineRule="exact"/>
        <w:rPr>
          <w:rFonts w:hAnsi="宋体"/>
          <w:color w:val="auto"/>
          <w:sz w:val="28"/>
          <w:szCs w:val="28"/>
        </w:rPr>
      </w:pPr>
    </w:p>
    <w:p w14:paraId="0508B113">
      <w:pPr>
        <w:spacing w:line="400" w:lineRule="exact"/>
        <w:ind w:firstLine="560" w:firstLineChars="200"/>
        <w:rPr>
          <w:rFonts w:ascii="宋体" w:hAnsi="宋体"/>
          <w:b/>
          <w:color w:val="auto"/>
          <w:sz w:val="28"/>
          <w:szCs w:val="28"/>
        </w:rPr>
      </w:pPr>
      <w:r>
        <w:rPr>
          <w:rFonts w:hint="eastAsia" w:ascii="宋体" w:hAnsi="宋体"/>
          <w:b/>
          <w:color w:val="auto"/>
          <w:sz w:val="28"/>
          <w:szCs w:val="28"/>
        </w:rPr>
        <w:t xml:space="preserve">30.履约保证金 </w:t>
      </w:r>
    </w:p>
    <w:p w14:paraId="195D7A27">
      <w:pPr>
        <w:spacing w:line="400" w:lineRule="exact"/>
        <w:ind w:firstLine="560" w:firstLineChars="200"/>
        <w:rPr>
          <w:rFonts w:hAnsi="宋体"/>
          <w:color w:val="auto"/>
          <w:sz w:val="28"/>
          <w:szCs w:val="28"/>
        </w:rPr>
      </w:pPr>
      <w:r>
        <w:rPr>
          <w:rFonts w:hint="eastAsia" w:hAnsi="宋体"/>
          <w:color w:val="auto"/>
          <w:sz w:val="28"/>
          <w:szCs w:val="28"/>
          <w:lang w:val="en-US" w:eastAsia="zh-CN"/>
        </w:rPr>
        <w:t>本项目</w:t>
      </w:r>
      <w:r>
        <w:rPr>
          <w:rFonts w:hint="eastAsia" w:hAnsi="宋体"/>
          <w:color w:val="auto"/>
          <w:sz w:val="28"/>
          <w:szCs w:val="28"/>
        </w:rPr>
        <w:t>不收取履约保证金。</w:t>
      </w:r>
    </w:p>
    <w:p w14:paraId="474E9B27">
      <w:pPr>
        <w:spacing w:line="400" w:lineRule="exact"/>
        <w:ind w:firstLine="560" w:firstLineChars="200"/>
        <w:rPr>
          <w:rFonts w:ascii="宋体" w:hAnsi="宋体"/>
          <w:b/>
          <w:color w:val="auto"/>
          <w:sz w:val="28"/>
          <w:szCs w:val="28"/>
        </w:rPr>
      </w:pPr>
      <w:r>
        <w:rPr>
          <w:rFonts w:hint="eastAsia" w:ascii="宋体" w:hAnsi="宋体"/>
          <w:b/>
          <w:color w:val="auto"/>
          <w:sz w:val="28"/>
          <w:szCs w:val="28"/>
        </w:rPr>
        <w:t>31.履行合同</w:t>
      </w:r>
    </w:p>
    <w:p w14:paraId="154381A7">
      <w:pPr>
        <w:spacing w:line="400" w:lineRule="exact"/>
        <w:ind w:firstLine="560" w:firstLineChars="200"/>
        <w:rPr>
          <w:rFonts w:ascii="宋体" w:hAnsi="宋体"/>
          <w:color w:val="auto"/>
          <w:sz w:val="28"/>
          <w:szCs w:val="28"/>
        </w:rPr>
      </w:pPr>
      <w:r>
        <w:rPr>
          <w:rFonts w:hint="eastAsia" w:ascii="宋体" w:hAnsi="宋体"/>
          <w:color w:val="auto"/>
          <w:sz w:val="28"/>
          <w:szCs w:val="28"/>
        </w:rPr>
        <w:t>31.1 成交供应商与采购人签订合同后，合同双方应严格执行合同条款，履行合同规定的义务，保证合同的顺利完成。</w:t>
      </w:r>
    </w:p>
    <w:p w14:paraId="5CA51BE2">
      <w:pPr>
        <w:spacing w:line="400" w:lineRule="exact"/>
        <w:ind w:firstLine="560" w:firstLineChars="200"/>
        <w:rPr>
          <w:rFonts w:hAnsi="宋体"/>
          <w:color w:val="auto"/>
          <w:sz w:val="28"/>
          <w:szCs w:val="28"/>
        </w:rPr>
      </w:pPr>
      <w:r>
        <w:rPr>
          <w:rFonts w:hint="eastAsia" w:ascii="宋体" w:hAnsi="宋体"/>
          <w:color w:val="auto"/>
          <w:sz w:val="28"/>
          <w:szCs w:val="28"/>
        </w:rPr>
        <w:t>31.2 在合同</w:t>
      </w:r>
      <w:r>
        <w:rPr>
          <w:rFonts w:hint="eastAsia" w:hAnsi="宋体"/>
          <w:color w:val="auto"/>
          <w:sz w:val="28"/>
          <w:szCs w:val="28"/>
        </w:rPr>
        <w:t>履行过程中，如发生合同纠纷，合同双方应按照《合同法》的有关规定进行处理。</w:t>
      </w:r>
    </w:p>
    <w:p w14:paraId="711CF88D">
      <w:pPr>
        <w:spacing w:line="400" w:lineRule="exact"/>
        <w:ind w:firstLine="560" w:firstLineChars="200"/>
        <w:rPr>
          <w:rFonts w:hAnsi="宋体"/>
          <w:color w:val="auto"/>
          <w:sz w:val="28"/>
          <w:szCs w:val="28"/>
        </w:rPr>
      </w:pPr>
    </w:p>
    <w:p w14:paraId="2D342DB9">
      <w:pPr>
        <w:spacing w:line="400" w:lineRule="exact"/>
        <w:ind w:firstLine="560" w:firstLineChars="200"/>
        <w:rPr>
          <w:rFonts w:ascii="宋体" w:hAnsi="宋体"/>
          <w:b/>
          <w:color w:val="auto"/>
          <w:sz w:val="28"/>
          <w:szCs w:val="28"/>
        </w:rPr>
      </w:pPr>
      <w:r>
        <w:rPr>
          <w:rFonts w:hint="eastAsia" w:ascii="宋体" w:hAnsi="宋体"/>
          <w:b/>
          <w:color w:val="auto"/>
          <w:sz w:val="28"/>
          <w:szCs w:val="28"/>
        </w:rPr>
        <w:t>32.验收</w:t>
      </w:r>
    </w:p>
    <w:p w14:paraId="4FA89E5E">
      <w:pPr>
        <w:spacing w:line="400" w:lineRule="exact"/>
        <w:ind w:firstLine="560" w:firstLineChars="200"/>
        <w:rPr>
          <w:rFonts w:ascii="宋体" w:hAnsi="宋体"/>
          <w:color w:val="auto"/>
          <w:sz w:val="28"/>
          <w:szCs w:val="28"/>
        </w:rPr>
      </w:pPr>
      <w:r>
        <w:rPr>
          <w:rFonts w:hint="eastAsia" w:ascii="宋体" w:hAnsi="宋体"/>
          <w:color w:val="auto"/>
          <w:sz w:val="28"/>
          <w:szCs w:val="28"/>
        </w:rPr>
        <w:t>32.1本项目采购人及其委托的采购代理机构将严格按照政府采购相关法律法规以及</w:t>
      </w:r>
      <w:r>
        <w:rPr>
          <w:rFonts w:hint="eastAsia" w:ascii="宋体" w:hAnsi="宋体" w:cs="宋体"/>
          <w:color w:val="auto"/>
          <w:sz w:val="28"/>
          <w:szCs w:val="28"/>
        </w:rPr>
        <w:t>《财政部关于进一步加强政府采购需求和履约验收管理的指导意见》（财库（2016）205号）的要求进行验收</w:t>
      </w:r>
      <w:r>
        <w:rPr>
          <w:rFonts w:hint="eastAsia" w:ascii="宋体" w:hAnsi="宋体"/>
          <w:color w:val="auto"/>
          <w:sz w:val="28"/>
          <w:szCs w:val="28"/>
        </w:rPr>
        <w:t>。</w:t>
      </w:r>
    </w:p>
    <w:p w14:paraId="549C37F1">
      <w:pPr>
        <w:spacing w:line="400" w:lineRule="exact"/>
        <w:ind w:firstLine="560" w:firstLineChars="200"/>
        <w:rPr>
          <w:rFonts w:hAnsi="宋体"/>
          <w:color w:val="auto"/>
          <w:sz w:val="28"/>
          <w:szCs w:val="28"/>
        </w:rPr>
      </w:pPr>
      <w:r>
        <w:rPr>
          <w:rFonts w:hint="eastAsia" w:ascii="宋体" w:hAnsi="宋体"/>
          <w:color w:val="auto"/>
          <w:sz w:val="28"/>
          <w:szCs w:val="28"/>
        </w:rPr>
        <w:t>32.2 验</w:t>
      </w:r>
      <w:r>
        <w:rPr>
          <w:rFonts w:hint="eastAsia" w:hAnsi="宋体"/>
          <w:color w:val="auto"/>
          <w:sz w:val="28"/>
          <w:szCs w:val="28"/>
        </w:rPr>
        <w:t>收结果合格的，成交供应商按程序办理</w:t>
      </w:r>
      <w:r>
        <w:rPr>
          <w:rFonts w:hint="eastAsia" w:hAnsi="宋体"/>
          <w:color w:val="auto"/>
          <w:sz w:val="28"/>
          <w:szCs w:val="28"/>
          <w:lang w:val="en-US" w:eastAsia="zh-CN"/>
        </w:rPr>
        <w:t>相关</w:t>
      </w:r>
      <w:r>
        <w:rPr>
          <w:rFonts w:hint="eastAsia" w:hAnsi="宋体"/>
          <w:color w:val="auto"/>
          <w:sz w:val="28"/>
          <w:szCs w:val="28"/>
        </w:rPr>
        <w:t>手续；验收结果不合格的，将不予支付采购资金，还可能会报本项目同级财政部门按照政府采购法律法规有关规定给予行政处罚或者以失信行为记入诚信档案。</w:t>
      </w:r>
    </w:p>
    <w:p w14:paraId="5F006E0D">
      <w:pPr>
        <w:pStyle w:val="3"/>
        <w:keepNext w:val="0"/>
        <w:keepLines w:val="0"/>
        <w:spacing w:before="0" w:after="0" w:line="400" w:lineRule="exact"/>
        <w:jc w:val="center"/>
        <w:rPr>
          <w:color w:val="auto"/>
          <w:sz w:val="28"/>
          <w:szCs w:val="28"/>
        </w:rPr>
      </w:pPr>
    </w:p>
    <w:p w14:paraId="13F155EA">
      <w:pPr>
        <w:pStyle w:val="3"/>
        <w:keepNext w:val="0"/>
        <w:keepLines w:val="0"/>
        <w:spacing w:before="0" w:after="0" w:line="400" w:lineRule="exact"/>
        <w:jc w:val="center"/>
        <w:rPr>
          <w:color w:val="auto"/>
          <w:sz w:val="28"/>
          <w:szCs w:val="28"/>
        </w:rPr>
      </w:pPr>
      <w:r>
        <w:rPr>
          <w:rFonts w:hint="eastAsia"/>
          <w:color w:val="auto"/>
          <w:sz w:val="28"/>
          <w:szCs w:val="28"/>
        </w:rPr>
        <w:t>八、谈判纪律要求</w:t>
      </w:r>
    </w:p>
    <w:p w14:paraId="6A03D1E0">
      <w:pPr>
        <w:tabs>
          <w:tab w:val="left" w:pos="851"/>
        </w:tabs>
        <w:spacing w:line="360" w:lineRule="auto"/>
        <w:jc w:val="center"/>
        <w:rPr>
          <w:rFonts w:ascii="宋体" w:hAnsi="宋体"/>
          <w:color w:val="auto"/>
          <w:sz w:val="28"/>
          <w:szCs w:val="28"/>
        </w:rPr>
      </w:pPr>
    </w:p>
    <w:p w14:paraId="6D338C31">
      <w:pPr>
        <w:tabs>
          <w:tab w:val="left" w:pos="851"/>
        </w:tabs>
        <w:spacing w:line="360" w:lineRule="auto"/>
        <w:ind w:firstLine="560" w:firstLineChars="200"/>
        <w:rPr>
          <w:rFonts w:ascii="宋体" w:hAnsi="宋体"/>
          <w:b/>
          <w:color w:val="auto"/>
          <w:sz w:val="28"/>
          <w:szCs w:val="28"/>
        </w:rPr>
      </w:pPr>
      <w:r>
        <w:rPr>
          <w:rFonts w:hint="eastAsia" w:ascii="宋体" w:hAnsi="宋体"/>
          <w:b/>
          <w:color w:val="auto"/>
          <w:sz w:val="28"/>
          <w:szCs w:val="28"/>
        </w:rPr>
        <w:t>33.供应商不得具有的情形</w:t>
      </w:r>
    </w:p>
    <w:p w14:paraId="1BEC30F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供应商参加本项目谈判不得有下列情形：</w:t>
      </w:r>
    </w:p>
    <w:p w14:paraId="7E364868">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（1）提供虚假材料谋取成交；</w:t>
      </w:r>
    </w:p>
    <w:p w14:paraId="6498E0A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（2）采取不正当手段诋毁、排挤其他供应商；</w:t>
      </w:r>
    </w:p>
    <w:p w14:paraId="782C6F5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（3）与采购人、采购代理机构、或其他供应商恶意串通；</w:t>
      </w:r>
    </w:p>
    <w:p w14:paraId="0AA3E59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（4）向采购人、采购代理机构、谈判小组成员行贿或者提供其</w:t>
      </w:r>
    </w:p>
    <w:p w14:paraId="5204B9E1">
      <w:pPr>
        <w:tabs>
          <w:tab w:val="left" w:pos="851"/>
        </w:tabs>
        <w:spacing w:line="360" w:lineRule="auto"/>
        <w:rPr>
          <w:rFonts w:ascii="宋体" w:hAnsi="宋体"/>
          <w:color w:val="auto"/>
          <w:sz w:val="28"/>
          <w:szCs w:val="28"/>
        </w:rPr>
      </w:pPr>
      <w:r>
        <w:rPr>
          <w:rFonts w:hint="eastAsia" w:ascii="宋体" w:hAnsi="宋体"/>
          <w:color w:val="auto"/>
          <w:sz w:val="28"/>
          <w:szCs w:val="28"/>
        </w:rPr>
        <w:t>他不正当利益；</w:t>
      </w:r>
    </w:p>
    <w:p w14:paraId="747DBB7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（5）在谈判过程中与采购人、采购代理机构进行协商；</w:t>
      </w:r>
    </w:p>
    <w:p w14:paraId="7CE125F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（6）成交后无正当理由拒不与采购人签订政府采购合同；</w:t>
      </w:r>
    </w:p>
    <w:p w14:paraId="677D3202">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（7）未按照谈判文件确定的事项签订政府采购合同；</w:t>
      </w:r>
    </w:p>
    <w:p w14:paraId="292764A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（8）将政府采购合同转包或者违规分包；</w:t>
      </w:r>
    </w:p>
    <w:p w14:paraId="5F07038F">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（9）提供假冒伪劣产品；</w:t>
      </w:r>
    </w:p>
    <w:p w14:paraId="21CCA999">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（10）擅自变更、中止或者终止政府采购合同；</w:t>
      </w:r>
    </w:p>
    <w:p w14:paraId="77A33B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（11）拒绝有关部门的监督检查或者向监督检查部门提供虚假情况；</w:t>
      </w:r>
    </w:p>
    <w:p w14:paraId="7D287FB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（12）法律法规规定的其他情形。</w:t>
      </w:r>
    </w:p>
    <w:p w14:paraId="197C71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供应商有上述情形的，按照规定追究法律责任，具备（1）-（10）条情形之一的，同时将取消被确认为成交供应商的资格或者认定成交无效。</w:t>
      </w:r>
    </w:p>
    <w:p w14:paraId="3AFA5A78">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九、询问、质疑和投诉</w:t>
      </w:r>
    </w:p>
    <w:p w14:paraId="15165F1F">
      <w:pPr>
        <w:tabs>
          <w:tab w:val="left" w:pos="851"/>
        </w:tabs>
        <w:spacing w:line="360" w:lineRule="auto"/>
        <w:jc w:val="center"/>
        <w:rPr>
          <w:rFonts w:ascii="宋体" w:hAnsi="宋体"/>
          <w:color w:val="auto"/>
          <w:sz w:val="28"/>
          <w:szCs w:val="28"/>
        </w:rPr>
      </w:pPr>
    </w:p>
    <w:p w14:paraId="4777EC63">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34.询问、质疑、投诉的接收和处理严格按照《中华人民共和国政府采购法》、《中华人民共和国政府采购法实施条例》、《财政部关于加强政府采购供应商投诉受理审查工作的通知》和四川省的有关规定办理。</w:t>
      </w:r>
    </w:p>
    <w:p w14:paraId="12B60417">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十、其  他</w:t>
      </w:r>
    </w:p>
    <w:p w14:paraId="78FFA79C">
      <w:pPr>
        <w:tabs>
          <w:tab w:val="left" w:pos="851"/>
        </w:tabs>
        <w:spacing w:line="360" w:lineRule="auto"/>
        <w:jc w:val="center"/>
        <w:rPr>
          <w:rFonts w:ascii="宋体" w:hAnsi="宋体"/>
          <w:color w:val="auto"/>
          <w:sz w:val="28"/>
          <w:szCs w:val="28"/>
        </w:rPr>
      </w:pPr>
    </w:p>
    <w:p w14:paraId="369DB9CF">
      <w:pPr>
        <w:spacing w:line="360" w:lineRule="auto"/>
        <w:ind w:firstLine="560" w:firstLineChars="200"/>
        <w:rPr>
          <w:rFonts w:ascii="宋体" w:hAnsi="宋体"/>
          <w:color w:val="auto"/>
          <w:sz w:val="28"/>
          <w:szCs w:val="28"/>
        </w:rPr>
      </w:pPr>
      <w:r>
        <w:rPr>
          <w:rFonts w:hint="eastAsia" w:ascii="宋体" w:hAnsi="宋体"/>
          <w:color w:val="auto"/>
          <w:sz w:val="28"/>
          <w:szCs w:val="28"/>
        </w:rPr>
        <w:t>35.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458DDA5">
      <w:pPr>
        <w:spacing w:line="360" w:lineRule="auto"/>
        <w:ind w:firstLine="560" w:firstLineChars="200"/>
        <w:rPr>
          <w:color w:val="auto"/>
          <w:sz w:val="28"/>
          <w:szCs w:val="28"/>
        </w:rPr>
      </w:pPr>
      <w:r>
        <w:rPr>
          <w:rFonts w:hint="eastAsia" w:ascii="宋体" w:hAnsi="宋体"/>
          <w:color w:val="auto"/>
          <w:sz w:val="28"/>
          <w:szCs w:val="28"/>
        </w:rPr>
        <w:t>36.</w:t>
      </w:r>
      <w:r>
        <w:rPr>
          <w:rFonts w:hint="eastAsia" w:ascii="宋体" w:hAnsi="宋体"/>
          <w:b/>
          <w:color w:val="auto"/>
          <w:sz w:val="28"/>
          <w:szCs w:val="28"/>
        </w:rPr>
        <w:t>（实质性要求）</w:t>
      </w:r>
      <w:r>
        <w:rPr>
          <w:rFonts w:hint="eastAsia" w:ascii="宋体"/>
          <w:color w:val="auto"/>
          <w:sz w:val="28"/>
          <w:szCs w:val="28"/>
        </w:rPr>
        <w:t>在本次递交响应文件之前一周年内，</w:t>
      </w:r>
      <w:r>
        <w:rPr>
          <w:rFonts w:hint="eastAsia" w:ascii="宋体" w:hAnsi="宋体"/>
          <w:color w:val="auto"/>
          <w:sz w:val="28"/>
          <w:szCs w:val="28"/>
        </w:rPr>
        <w:t>供应商本次谈判中对同一品牌同一型号的产品报价与其在中国境内其他地方的最低报价相比不得高于</w:t>
      </w:r>
      <w:r>
        <w:rPr>
          <w:rFonts w:hint="eastAsia" w:ascii="宋体"/>
          <w:color w:val="auto"/>
          <w:sz w:val="28"/>
          <w:szCs w:val="28"/>
        </w:rPr>
        <w:t>20%（建议在10%-20%区间）。</w:t>
      </w:r>
    </w:p>
    <w:p w14:paraId="69649BEF">
      <w:pPr>
        <w:spacing w:line="400" w:lineRule="exact"/>
        <w:ind w:firstLine="560" w:firstLineChars="200"/>
        <w:rPr>
          <w:rFonts w:ascii="黑体" w:hAnsi="宋体" w:eastAsia="黑体"/>
          <w:b/>
          <w:color w:val="auto"/>
          <w:sz w:val="28"/>
          <w:szCs w:val="28"/>
        </w:rPr>
      </w:pPr>
      <w:r>
        <w:rPr>
          <w:rFonts w:hint="eastAsia" w:ascii="宋体" w:hAnsi="宋体"/>
          <w:color w:val="auto"/>
          <w:sz w:val="28"/>
          <w:szCs w:val="28"/>
        </w:rPr>
        <w:t>37.</w:t>
      </w:r>
      <w:r>
        <w:rPr>
          <w:rFonts w:hint="eastAsia" w:ascii="宋体" w:hAnsi="宋体"/>
          <w:b/>
          <w:color w:val="auto"/>
          <w:sz w:val="28"/>
          <w:szCs w:val="28"/>
        </w:rPr>
        <w:t>（实质性要求）</w:t>
      </w:r>
      <w:r>
        <w:rPr>
          <w:color w:val="auto"/>
          <w:kern w:val="0"/>
          <w:sz w:val="28"/>
          <w:szCs w:val="28"/>
        </w:rPr>
        <w:t>国家</w:t>
      </w:r>
      <w:r>
        <w:rPr>
          <w:rFonts w:hint="eastAsia"/>
          <w:color w:val="auto"/>
          <w:kern w:val="0"/>
          <w:sz w:val="28"/>
          <w:szCs w:val="28"/>
        </w:rPr>
        <w:t>或行业主管部门</w:t>
      </w:r>
      <w:r>
        <w:rPr>
          <w:color w:val="auto"/>
          <w:kern w:val="0"/>
          <w:sz w:val="28"/>
          <w:szCs w:val="28"/>
        </w:rPr>
        <w:t>对</w:t>
      </w:r>
      <w:r>
        <w:rPr>
          <w:rFonts w:hint="eastAsia"/>
          <w:color w:val="auto"/>
          <w:kern w:val="0"/>
          <w:sz w:val="28"/>
          <w:szCs w:val="28"/>
        </w:rPr>
        <w:t>供应商和采购产品的</w:t>
      </w:r>
      <w:r>
        <w:rPr>
          <w:color w:val="auto"/>
          <w:kern w:val="0"/>
          <w:sz w:val="28"/>
          <w:szCs w:val="28"/>
        </w:rPr>
        <w:t>技术</w:t>
      </w:r>
      <w:r>
        <w:rPr>
          <w:rFonts w:hint="eastAsia"/>
          <w:color w:val="auto"/>
          <w:kern w:val="0"/>
          <w:sz w:val="28"/>
          <w:szCs w:val="28"/>
        </w:rPr>
        <w:t>标准、</w:t>
      </w:r>
      <w:r>
        <w:rPr>
          <w:color w:val="auto"/>
          <w:kern w:val="0"/>
          <w:sz w:val="28"/>
          <w:szCs w:val="28"/>
        </w:rPr>
        <w:t>质量</w:t>
      </w:r>
      <w:r>
        <w:rPr>
          <w:rFonts w:hint="eastAsia"/>
          <w:color w:val="auto"/>
          <w:kern w:val="0"/>
          <w:sz w:val="28"/>
          <w:szCs w:val="28"/>
        </w:rPr>
        <w:t>标准和资格资质条件</w:t>
      </w:r>
      <w:r>
        <w:rPr>
          <w:color w:val="auto"/>
          <w:kern w:val="0"/>
          <w:sz w:val="28"/>
          <w:szCs w:val="28"/>
        </w:rPr>
        <w:t>等有</w:t>
      </w:r>
      <w:r>
        <w:rPr>
          <w:rFonts w:hint="eastAsia"/>
          <w:color w:val="auto"/>
          <w:kern w:val="0"/>
          <w:sz w:val="28"/>
          <w:szCs w:val="28"/>
        </w:rPr>
        <w:t>强制性规定</w:t>
      </w:r>
      <w:r>
        <w:rPr>
          <w:color w:val="auto"/>
          <w:kern w:val="0"/>
          <w:sz w:val="28"/>
          <w:szCs w:val="28"/>
        </w:rPr>
        <w:t>的</w:t>
      </w:r>
      <w:r>
        <w:rPr>
          <w:rFonts w:hint="eastAsia"/>
          <w:color w:val="auto"/>
          <w:sz w:val="28"/>
          <w:szCs w:val="28"/>
        </w:rPr>
        <w:t>，</w:t>
      </w:r>
      <w:r>
        <w:rPr>
          <w:rFonts w:hint="eastAsia"/>
          <w:color w:val="auto"/>
          <w:kern w:val="0"/>
          <w:sz w:val="28"/>
          <w:szCs w:val="28"/>
        </w:rPr>
        <w:t>必须符合其要求。</w:t>
      </w:r>
    </w:p>
    <w:p w14:paraId="192BD10B">
      <w:pPr>
        <w:pStyle w:val="12"/>
        <w:ind w:firstLine="480"/>
        <w:rPr>
          <w:rFonts w:ascii="仿宋" w:hAnsi="仿宋" w:eastAsia="仿宋"/>
          <w:color w:val="auto"/>
        </w:rPr>
      </w:pPr>
    </w:p>
    <w:p w14:paraId="0910CEA2">
      <w:pPr>
        <w:pStyle w:val="12"/>
        <w:ind w:firstLine="480"/>
        <w:rPr>
          <w:rFonts w:ascii="仿宋" w:hAnsi="仿宋" w:eastAsia="仿宋"/>
          <w:color w:val="auto"/>
        </w:rPr>
      </w:pPr>
    </w:p>
    <w:p w14:paraId="1B323E1C">
      <w:pPr>
        <w:pStyle w:val="12"/>
        <w:ind w:firstLine="480"/>
        <w:rPr>
          <w:rFonts w:ascii="仿宋" w:hAnsi="仿宋" w:eastAsia="仿宋"/>
          <w:color w:val="auto"/>
        </w:rPr>
      </w:pPr>
    </w:p>
    <w:p w14:paraId="0B9F61D6">
      <w:pPr>
        <w:pStyle w:val="12"/>
        <w:ind w:firstLine="480"/>
        <w:rPr>
          <w:rFonts w:ascii="仿宋" w:hAnsi="仿宋" w:eastAsia="仿宋"/>
          <w:color w:val="auto"/>
        </w:rPr>
      </w:pPr>
    </w:p>
    <w:p w14:paraId="6BE45DDF">
      <w:pPr>
        <w:pStyle w:val="38"/>
        <w:rPr>
          <w:rFonts w:ascii="仿宋" w:hAnsi="仿宋" w:eastAsia="仿宋"/>
          <w:b/>
          <w:bCs/>
          <w:color w:val="auto"/>
          <w:sz w:val="30"/>
          <w:szCs w:val="30"/>
        </w:rPr>
      </w:pPr>
      <w:bookmarkStart w:id="76" w:name="_Toc41037904"/>
      <w:bookmarkStart w:id="77" w:name="_Toc509579142"/>
      <w:r>
        <w:rPr>
          <w:rFonts w:hint="eastAsia" w:ascii="仿宋" w:hAnsi="仿宋" w:eastAsia="仿宋" w:cs="仿宋"/>
          <w:color w:val="auto"/>
          <w:sz w:val="30"/>
          <w:szCs w:val="30"/>
        </w:rPr>
        <w:br w:type="page"/>
      </w:r>
      <w:r>
        <w:rPr>
          <w:rFonts w:hint="eastAsia" w:ascii="仿宋" w:hAnsi="仿宋" w:eastAsia="仿宋" w:cs="仿宋"/>
          <w:color w:val="auto"/>
          <w:sz w:val="30"/>
          <w:szCs w:val="30"/>
        </w:rPr>
        <w:t>第三章   供应商的资格、资质性及其他类似效力要求</w:t>
      </w:r>
      <w:bookmarkEnd w:id="76"/>
      <w:bookmarkEnd w:id="77"/>
    </w:p>
    <w:p w14:paraId="0E2D198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sz w:val="30"/>
          <w:szCs w:val="30"/>
        </w:rPr>
      </w:pPr>
      <w:r>
        <w:rPr>
          <w:rFonts w:hint="eastAsia" w:ascii="仿宋" w:hAnsi="仿宋" w:eastAsia="仿宋" w:cs="仿宋"/>
          <w:color w:val="auto"/>
          <w:sz w:val="30"/>
          <w:szCs w:val="30"/>
        </w:rPr>
        <w:t>一、参加谈判的供应商应具备下列资格条件：</w:t>
      </w:r>
    </w:p>
    <w:p w14:paraId="266ECA15">
      <w:pPr>
        <w:keepNext w:val="0"/>
        <w:keepLines w:val="0"/>
        <w:pageBreakBefore w:val="0"/>
        <w:widowControl w:val="0"/>
        <w:kinsoku/>
        <w:wordWrap/>
        <w:overflowPunct/>
        <w:topLinePunct w:val="0"/>
        <w:autoSpaceDE/>
        <w:autoSpaceDN/>
        <w:bidi w:val="0"/>
        <w:adjustRightInd/>
        <w:snapToGrid/>
        <w:spacing w:line="500" w:lineRule="exact"/>
        <w:ind w:firstLine="675" w:firstLineChars="225"/>
        <w:textAlignment w:val="auto"/>
        <w:rPr>
          <w:rFonts w:ascii="仿宋" w:hAnsi="仿宋" w:eastAsia="仿宋"/>
          <w:color w:val="auto"/>
          <w:sz w:val="30"/>
          <w:szCs w:val="30"/>
        </w:rPr>
      </w:pPr>
      <w:r>
        <w:rPr>
          <w:rFonts w:hint="eastAsia" w:ascii="仿宋" w:hAnsi="仿宋" w:eastAsia="仿宋" w:cs="仿宋"/>
          <w:color w:val="auto"/>
          <w:sz w:val="30"/>
          <w:szCs w:val="30"/>
        </w:rPr>
        <w:t>（一）《中华人民共和国政府采购法》第二十二条规定的条件：</w:t>
      </w:r>
    </w:p>
    <w:p w14:paraId="7A55061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1.具有独立承担民事责任的能力；</w:t>
      </w:r>
    </w:p>
    <w:p w14:paraId="1C7783E5">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2.具有良好的商业信誉和健全的财务会计制度；</w:t>
      </w:r>
    </w:p>
    <w:p w14:paraId="32B0008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3.具有履行合同所必须的设备和专业技术能力；</w:t>
      </w:r>
    </w:p>
    <w:p w14:paraId="12389BF4">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4.具有依法缴纳税收和社会保障资金的良好记录；</w:t>
      </w:r>
    </w:p>
    <w:p w14:paraId="2DB80F18">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5.参加本次政府采购活动前三年内，在经营活动中没有重大违法记录；</w:t>
      </w:r>
    </w:p>
    <w:p w14:paraId="37FC1F49">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6.法律、行政法规规定的其他条件。</w:t>
      </w:r>
    </w:p>
    <w:p w14:paraId="782607BB">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olor w:val="auto"/>
          <w:sz w:val="30"/>
          <w:szCs w:val="30"/>
        </w:rPr>
      </w:pPr>
      <w:r>
        <w:rPr>
          <w:rFonts w:hint="eastAsia" w:ascii="仿宋" w:hAnsi="仿宋" w:eastAsia="仿宋" w:cs="仿宋"/>
          <w:color w:val="auto"/>
          <w:sz w:val="30"/>
          <w:szCs w:val="30"/>
        </w:rPr>
        <w:t>7.根据采购项目提出的特殊条件：</w:t>
      </w:r>
      <w:r>
        <w:rPr>
          <w:rFonts w:hint="eastAsia" w:ascii="仿宋" w:hAnsi="仿宋" w:eastAsia="仿宋" w:cs="仿宋"/>
          <w:bCs/>
          <w:color w:val="auto"/>
          <w:sz w:val="28"/>
          <w:szCs w:val="28"/>
        </w:rPr>
        <w:t>本项目不接受联合体谈判。</w:t>
      </w:r>
    </w:p>
    <w:p w14:paraId="508AA4D5">
      <w:pPr>
        <w:pStyle w:val="7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落实政府采购政策需满足的资格要求：</w:t>
      </w:r>
    </w:p>
    <w:p w14:paraId="7FD7A6A3">
      <w:pPr>
        <w:spacing w:line="480" w:lineRule="exact"/>
        <w:ind w:firstLine="560" w:firstLineChars="200"/>
        <w:jc w:val="left"/>
        <w:rPr>
          <w:color w:val="auto"/>
          <w:sz w:val="28"/>
          <w:szCs w:val="28"/>
        </w:rPr>
      </w:pPr>
      <w:r>
        <w:rPr>
          <w:rFonts w:hint="eastAsia" w:ascii="仿宋" w:hAnsi="仿宋" w:eastAsia="仿宋" w:cs="仿宋"/>
          <w:bCs/>
          <w:color w:val="auto"/>
          <w:kern w:val="2"/>
          <w:sz w:val="28"/>
          <w:szCs w:val="28"/>
          <w:lang w:val="en-US" w:eastAsia="zh-CN" w:bidi="ar-SA"/>
        </w:rPr>
        <w:t>本项目专门面向中小企业（监狱企业/残疾人福利性企业视同小微企业）</w:t>
      </w:r>
    </w:p>
    <w:p w14:paraId="2626BC9C">
      <w:pPr>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三、其他类似效力要求相关证明材料：</w:t>
      </w:r>
    </w:p>
    <w:p w14:paraId="25E1DA21">
      <w:pPr>
        <w:spacing w:line="360" w:lineRule="auto"/>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141E686B">
      <w:pPr>
        <w:numPr>
          <w:ilvl w:val="0"/>
          <w:numId w:val="0"/>
        </w:numPr>
        <w:spacing w:line="480" w:lineRule="exact"/>
        <w:jc w:val="left"/>
        <w:rPr>
          <w:rFonts w:ascii="仿宋" w:hAnsi="仿宋" w:eastAsia="仿宋" w:cs="仿宋"/>
          <w:b/>
          <w:bCs/>
          <w:color w:val="auto"/>
          <w:sz w:val="24"/>
          <w:szCs w:val="24"/>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0115150A">
      <w:pPr>
        <w:spacing w:line="360" w:lineRule="auto"/>
        <w:ind w:left="420"/>
        <w:rPr>
          <w:rFonts w:ascii="仿宋" w:hAnsi="仿宋" w:eastAsia="仿宋"/>
          <w:color w:val="auto"/>
          <w:sz w:val="30"/>
          <w:szCs w:val="30"/>
        </w:rPr>
      </w:pPr>
      <w:r>
        <w:rPr>
          <w:rFonts w:hint="eastAsia" w:hAnsi="宋体"/>
          <w:b w:val="0"/>
          <w:bCs w:val="0"/>
          <w:color w:val="auto"/>
        </w:rPr>
        <w:t>注：1．“参加本次招标活动前三年内，在经营活动中没有重大违法记录”中的重大违法记录，是指供应商因违法经营受到刑事处罚或者责令停产停业、吊销许可证或者执照、较大数额罚款等行政处罚（“较大数额罚款”的金额标准是指：根据《财政部关于&lt;中华人民共和国政府采购法实施条例&gt;第十九条第一款“较大数额罚款”具体适用问题的意见》(财库(2022)3号)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8713880">
      <w:pPr>
        <w:pStyle w:val="38"/>
        <w:rPr>
          <w:rFonts w:ascii="仿宋" w:hAnsi="仿宋" w:eastAsia="仿宋" w:cs="Times New Roman"/>
          <w:color w:val="auto"/>
          <w:sz w:val="30"/>
          <w:szCs w:val="30"/>
        </w:rPr>
      </w:pPr>
      <w:bookmarkStart w:id="78" w:name="_Toc41037905"/>
      <w:bookmarkStart w:id="79" w:name="_Toc509579143"/>
      <w:r>
        <w:rPr>
          <w:rFonts w:hint="eastAsia" w:ascii="仿宋" w:hAnsi="仿宋" w:eastAsia="仿宋" w:cs="仿宋"/>
          <w:color w:val="auto"/>
          <w:sz w:val="30"/>
          <w:szCs w:val="30"/>
        </w:rPr>
        <w:br w:type="page"/>
      </w:r>
      <w:r>
        <w:rPr>
          <w:rFonts w:hint="eastAsia" w:ascii="仿宋" w:hAnsi="仿宋" w:eastAsia="仿宋" w:cs="仿宋"/>
          <w:color w:val="auto"/>
          <w:sz w:val="30"/>
          <w:szCs w:val="30"/>
        </w:rPr>
        <w:t>第四章供应商应当提供的资格、资质性及其他类似效力要求的相关证明材料</w:t>
      </w:r>
      <w:bookmarkEnd w:id="78"/>
      <w:bookmarkEnd w:id="79"/>
    </w:p>
    <w:p w14:paraId="647C2D0F">
      <w:pPr>
        <w:ind w:firstLine="538"/>
        <w:rPr>
          <w:rFonts w:ascii="仿宋" w:hAnsi="仿宋" w:eastAsia="仿宋"/>
          <w:color w:val="auto"/>
          <w:sz w:val="30"/>
          <w:szCs w:val="30"/>
        </w:rPr>
      </w:pPr>
    </w:p>
    <w:p w14:paraId="410E3220">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一、应当提供的供应商资格、资质性及其他类似效力要求的相关证明材料</w:t>
      </w:r>
    </w:p>
    <w:p w14:paraId="17B44111">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（一）资格要求相关证明材料：</w:t>
      </w:r>
    </w:p>
    <w:p w14:paraId="702C6860">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086F05D">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、具备良好商业信誉的证明材料（提供承诺函）；</w:t>
      </w:r>
    </w:p>
    <w:p w14:paraId="159F82B7">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、具备健全的财务会计制度的证明材料（提供承诺函）；</w:t>
      </w:r>
    </w:p>
    <w:p w14:paraId="02F34E33">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、具有依法缴纳税收和社会保障资金的良好记录（提供承诺函）；</w:t>
      </w:r>
    </w:p>
    <w:p w14:paraId="1B5EF1AA">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、具备履行合同所必需的设备和专业技术能力的证明材料（提供承诺函）；</w:t>
      </w:r>
    </w:p>
    <w:p w14:paraId="09C24FB4">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、参加政府采购活动前</w:t>
      </w:r>
      <w:r>
        <w:rPr>
          <w:rFonts w:ascii="仿宋" w:hAnsi="仿宋" w:eastAsia="仿宋" w:cs="仿宋"/>
          <w:color w:val="auto"/>
          <w:sz w:val="30"/>
          <w:szCs w:val="30"/>
        </w:rPr>
        <w:t>3</w:t>
      </w:r>
      <w:r>
        <w:rPr>
          <w:rFonts w:hint="eastAsia" w:ascii="仿宋" w:hAnsi="仿宋" w:eastAsia="仿宋" w:cs="仿宋"/>
          <w:color w:val="auto"/>
          <w:sz w:val="30"/>
          <w:szCs w:val="30"/>
        </w:rPr>
        <w:t>年内在经营活动中没有重大违法记录的承诺函（提供承诺函）；</w:t>
      </w:r>
    </w:p>
    <w:p w14:paraId="5607D78B">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、具备法律、行政法规规定的其他条件的证明材料（提供承诺函）；</w:t>
      </w:r>
    </w:p>
    <w:p w14:paraId="07F4B6E9">
      <w:pPr>
        <w:spacing w:line="360" w:lineRule="auto"/>
        <w:ind w:firstLine="588" w:firstLineChars="196"/>
        <w:rPr>
          <w:rFonts w:hint="eastAsia" w:ascii="仿宋" w:hAnsi="仿宋" w:eastAsia="仿宋" w:cs="仿宋"/>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、根据采购项目提出的特殊条件：本项目不接受联合体谈判。</w:t>
      </w:r>
    </w:p>
    <w:p w14:paraId="2F66058E">
      <w:pPr>
        <w:pStyle w:val="37"/>
        <w:widowControl w:val="0"/>
        <w:autoSpaceDE w:val="0"/>
        <w:autoSpaceDN w:val="0"/>
        <w:adjustRightInd w:val="0"/>
        <w:spacing w:before="0" w:beforeAutospacing="0" w:after="0" w:afterAutospacing="0"/>
        <w:rPr>
          <w:b/>
          <w:bCs/>
          <w:color w:val="auto"/>
          <w:szCs w:val="24"/>
        </w:rPr>
      </w:pPr>
      <w:r>
        <w:rPr>
          <w:rFonts w:hint="eastAsia" w:ascii="仿宋" w:hAnsi="仿宋" w:eastAsia="仿宋" w:cs="仿宋"/>
          <w:b/>
          <w:bCs/>
          <w:color w:val="auto"/>
          <w:sz w:val="30"/>
          <w:szCs w:val="30"/>
        </w:rPr>
        <w:t>（二）</w:t>
      </w:r>
      <w:r>
        <w:rPr>
          <w:rFonts w:hint="eastAsia" w:ascii="仿宋" w:hAnsi="仿宋" w:eastAsia="仿宋" w:cs="仿宋"/>
          <w:b/>
          <w:bCs/>
          <w:color w:val="auto"/>
          <w:kern w:val="2"/>
          <w:sz w:val="30"/>
          <w:szCs w:val="30"/>
        </w:rPr>
        <w:t>落实政府采购政策需满足的资格要求：</w:t>
      </w:r>
    </w:p>
    <w:p w14:paraId="06015947">
      <w:pPr>
        <w:pStyle w:val="37"/>
        <w:widowControl w:val="0"/>
        <w:spacing w:before="0" w:beforeAutospacing="0" w:after="0" w:afterAutospacing="0" w:line="420" w:lineRule="exact"/>
        <w:ind w:firstLine="600" w:firstLineChars="200"/>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落实政府采购政策需满足的资格要求：本项目专门面向中小企业采购。</w:t>
      </w:r>
    </w:p>
    <w:p w14:paraId="46D4D771">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提供中小企业声明函原件；</w:t>
      </w:r>
    </w:p>
    <w:p w14:paraId="68DAF424">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提供残疾人福利性单位声明函原件；</w:t>
      </w:r>
    </w:p>
    <w:p w14:paraId="0EF4977B">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提供监狱企业证明材料复印件</w:t>
      </w:r>
    </w:p>
    <w:p w14:paraId="6E933F31">
      <w:pPr>
        <w:pStyle w:val="37"/>
        <w:widowControl w:val="0"/>
        <w:spacing w:before="0" w:beforeAutospacing="0" w:after="0" w:afterAutospacing="0" w:line="420" w:lineRule="exact"/>
        <w:ind w:firstLine="600" w:firstLineChars="200"/>
        <w:jc w:val="both"/>
        <w:rPr>
          <w:rFonts w:ascii="仿宋" w:hAnsi="仿宋" w:eastAsia="仿宋" w:cs="仿宋"/>
          <w:b/>
          <w:bCs/>
          <w:color w:val="auto"/>
          <w:sz w:val="30"/>
          <w:szCs w:val="30"/>
        </w:rPr>
      </w:pPr>
      <w:r>
        <w:rPr>
          <w:rFonts w:hint="eastAsia" w:ascii="仿宋" w:hAnsi="仿宋" w:eastAsia="仿宋" w:cs="仿宋"/>
          <w:color w:val="auto"/>
          <w:kern w:val="2"/>
          <w:sz w:val="30"/>
          <w:szCs w:val="30"/>
        </w:rPr>
        <w:t>注：供应商根据自身情况选择提供以上（1）-（3）项其中之一。</w:t>
      </w:r>
    </w:p>
    <w:p w14:paraId="3CC021DF">
      <w:pPr>
        <w:spacing w:line="360" w:lineRule="auto"/>
        <w:rPr>
          <w:rFonts w:ascii="仿宋" w:hAnsi="仿宋" w:eastAsia="仿宋"/>
          <w:b/>
          <w:bCs/>
          <w:color w:val="auto"/>
          <w:sz w:val="30"/>
          <w:szCs w:val="30"/>
        </w:rPr>
      </w:pPr>
      <w:r>
        <w:rPr>
          <w:rFonts w:hint="eastAsia" w:ascii="仿宋" w:hAnsi="仿宋" w:eastAsia="仿宋" w:cs="仿宋"/>
          <w:b/>
          <w:bCs/>
          <w:color w:val="auto"/>
          <w:sz w:val="30"/>
          <w:szCs w:val="30"/>
        </w:rPr>
        <w:t>（三）其他类似效力要求相关证明材料：</w:t>
      </w:r>
    </w:p>
    <w:p w14:paraId="14B7C73B">
      <w:pPr>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2F9ECAA0">
      <w:pPr>
        <w:spacing w:line="360" w:lineRule="auto"/>
        <w:ind w:firstLine="480"/>
        <w:rPr>
          <w:rFonts w:ascii="仿宋" w:hAnsi="仿宋" w:eastAsia="仿宋" w:cs="仿宋"/>
          <w:b/>
          <w:bCs/>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1D5198CF">
      <w:pPr>
        <w:spacing w:line="360" w:lineRule="auto"/>
        <w:rPr>
          <w:color w:val="auto"/>
          <w:sz w:val="28"/>
          <w:szCs w:val="28"/>
        </w:rPr>
      </w:pPr>
      <w:r>
        <w:rPr>
          <w:rFonts w:hint="eastAsia" w:ascii="仿宋" w:hAnsi="仿宋" w:eastAsia="仿宋" w:cs="仿宋"/>
          <w:b/>
          <w:bCs/>
          <w:color w:val="auto"/>
          <w:sz w:val="28"/>
          <w:szCs w:val="28"/>
        </w:rPr>
        <w:t>注：以上要求的资料复印件</w:t>
      </w:r>
      <w:r>
        <w:rPr>
          <w:rFonts w:hint="eastAsia" w:ascii="仿宋" w:hAnsi="仿宋" w:eastAsia="仿宋" w:cs="仿宋"/>
          <w:b/>
          <w:bCs/>
          <w:color w:val="auto"/>
          <w:kern w:val="0"/>
          <w:sz w:val="28"/>
          <w:szCs w:val="28"/>
        </w:rPr>
        <w:t>（身份证明材料、采购文件购买情况证明材料除外）</w:t>
      </w:r>
      <w:r>
        <w:rPr>
          <w:rFonts w:hint="eastAsia" w:ascii="仿宋" w:hAnsi="仿宋" w:eastAsia="仿宋" w:cs="仿宋"/>
          <w:b/>
          <w:bCs/>
          <w:color w:val="auto"/>
          <w:sz w:val="28"/>
          <w:szCs w:val="28"/>
        </w:rPr>
        <w:t>均须加盖供应商单位的公章（鲜章），证明材料是双面的，在单面加盖公章，不影响响应文件的实质有效性。</w:t>
      </w:r>
      <w:bookmarkStart w:id="80" w:name="_Toc41037906"/>
      <w:bookmarkStart w:id="81" w:name="_Toc509579144"/>
    </w:p>
    <w:p w14:paraId="452A7A58">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第五章采购项目技术、服务、政府采购合同内容条款</w:t>
      </w:r>
    </w:p>
    <w:p w14:paraId="1D2B51AF">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color w:val="auto"/>
        </w:rPr>
      </w:pPr>
      <w:r>
        <w:rPr>
          <w:rFonts w:hint="eastAsia" w:ascii="仿宋" w:hAnsi="仿宋" w:eastAsia="仿宋" w:cs="仿宋"/>
          <w:color w:val="auto"/>
        </w:rPr>
        <w:t>及其他商务要求</w:t>
      </w:r>
      <w:bookmarkEnd w:id="80"/>
      <w:bookmarkEnd w:id="81"/>
    </w:p>
    <w:p w14:paraId="624AD225">
      <w:pPr>
        <w:numPr>
          <w:ilvl w:val="0"/>
          <w:numId w:val="0"/>
        </w:num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项目概况</w:t>
      </w:r>
    </w:p>
    <w:p w14:paraId="6D80CA37">
      <w:pPr>
        <w:pStyle w:val="1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1、项目名称：四川川信致远资产经营管理有限公司自动售货机销售食品饮料采购项目</w:t>
      </w:r>
    </w:p>
    <w:p w14:paraId="16F1C4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color w:val="auto"/>
          <w:kern w:val="2"/>
          <w:sz w:val="30"/>
          <w:szCs w:val="30"/>
          <w:lang w:val="en-US" w:eastAsia="zh-CN" w:bidi="ar-SA"/>
        </w:rPr>
        <w:t>2、采购内容：采购自动售货机销售食品饮料</w:t>
      </w:r>
    </w:p>
    <w:p w14:paraId="6E4A982C">
      <w:pPr>
        <w:snapToGrid w:val="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货物清单</w:t>
      </w:r>
    </w:p>
    <w:tbl>
      <w:tblPr>
        <w:tblStyle w:val="42"/>
        <w:tblW w:w="8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27"/>
        <w:gridCol w:w="2948"/>
        <w:gridCol w:w="1530"/>
        <w:gridCol w:w="1335"/>
      </w:tblGrid>
      <w:tr w14:paraId="4914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51" w:type="dxa"/>
            <w:tcMar>
              <w:top w:w="0" w:type="dxa"/>
              <w:left w:w="105" w:type="dxa"/>
              <w:bottom w:w="0" w:type="dxa"/>
              <w:right w:w="105" w:type="dxa"/>
            </w:tcMar>
            <w:vAlign w:val="center"/>
          </w:tcPr>
          <w:p w14:paraId="134CCD6F">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序号</w:t>
            </w:r>
          </w:p>
        </w:tc>
        <w:tc>
          <w:tcPr>
            <w:tcW w:w="1327" w:type="dxa"/>
            <w:tcMar>
              <w:top w:w="0" w:type="dxa"/>
              <w:left w:w="105" w:type="dxa"/>
              <w:bottom w:w="0" w:type="dxa"/>
              <w:right w:w="105" w:type="dxa"/>
            </w:tcMar>
            <w:vAlign w:val="center"/>
          </w:tcPr>
          <w:p w14:paraId="1E870656">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标的名称</w:t>
            </w:r>
          </w:p>
        </w:tc>
        <w:tc>
          <w:tcPr>
            <w:tcW w:w="2948" w:type="dxa"/>
            <w:tcMar>
              <w:top w:w="0" w:type="dxa"/>
              <w:left w:w="105" w:type="dxa"/>
              <w:bottom w:w="0" w:type="dxa"/>
              <w:right w:w="105" w:type="dxa"/>
            </w:tcMar>
            <w:vAlign w:val="center"/>
          </w:tcPr>
          <w:p w14:paraId="379960C5">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技术参数要求</w:t>
            </w:r>
          </w:p>
        </w:tc>
        <w:tc>
          <w:tcPr>
            <w:tcW w:w="1530" w:type="dxa"/>
            <w:tcMar>
              <w:top w:w="0" w:type="dxa"/>
              <w:left w:w="105" w:type="dxa"/>
              <w:bottom w:w="0" w:type="dxa"/>
              <w:right w:w="105" w:type="dxa"/>
            </w:tcMar>
            <w:vAlign w:val="center"/>
          </w:tcPr>
          <w:p w14:paraId="55AF6520">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单价最高限价(含税供货价)</w:t>
            </w:r>
          </w:p>
          <w:p w14:paraId="24785A5E">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（元）</w:t>
            </w:r>
          </w:p>
        </w:tc>
        <w:tc>
          <w:tcPr>
            <w:tcW w:w="1335" w:type="dxa"/>
            <w:tcMar>
              <w:top w:w="0" w:type="dxa"/>
              <w:left w:w="105" w:type="dxa"/>
              <w:bottom w:w="0" w:type="dxa"/>
              <w:right w:w="105" w:type="dxa"/>
            </w:tcMar>
            <w:vAlign w:val="center"/>
          </w:tcPr>
          <w:p w14:paraId="5F923B96">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计量单位</w:t>
            </w:r>
          </w:p>
        </w:tc>
      </w:tr>
      <w:tr w14:paraId="3244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51" w:type="dxa"/>
            <w:tcMar>
              <w:top w:w="0" w:type="dxa"/>
              <w:left w:w="105" w:type="dxa"/>
              <w:bottom w:w="0" w:type="dxa"/>
              <w:right w:w="105" w:type="dxa"/>
            </w:tcMar>
            <w:vAlign w:val="center"/>
          </w:tcPr>
          <w:p w14:paraId="7293ACF2">
            <w:pPr>
              <w:pStyle w:val="172"/>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27" w:type="dxa"/>
            <w:tcMar>
              <w:top w:w="0" w:type="dxa"/>
              <w:left w:w="105" w:type="dxa"/>
              <w:bottom w:w="0" w:type="dxa"/>
              <w:right w:w="105" w:type="dxa"/>
            </w:tcMar>
            <w:vAlign w:val="center"/>
          </w:tcPr>
          <w:p w14:paraId="3D1FC21A">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茶饮料1</w:t>
            </w:r>
          </w:p>
        </w:tc>
        <w:tc>
          <w:tcPr>
            <w:tcW w:w="2948" w:type="dxa"/>
          </w:tcPr>
          <w:p w14:paraId="1D7B5BC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1.每瓶净含量：490ml~550ml，有红茶、绿茶、金桔、青梅绿茶等多种口味，开瓶即饮；</w:t>
            </w:r>
          </w:p>
          <w:p w14:paraId="0AF63FE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2.茶多酚、咖啡因等原料符合国家标准；</w:t>
            </w:r>
          </w:p>
          <w:p w14:paraId="2AB81C71">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3.符合GB/T 21733-2008《茶饮料》标准规定。</w:t>
            </w:r>
          </w:p>
        </w:tc>
        <w:tc>
          <w:tcPr>
            <w:tcW w:w="1530" w:type="dxa"/>
            <w:tcMar>
              <w:top w:w="0" w:type="dxa"/>
              <w:left w:w="105" w:type="dxa"/>
              <w:bottom w:w="0" w:type="dxa"/>
              <w:right w:w="105" w:type="dxa"/>
            </w:tcMar>
            <w:vAlign w:val="center"/>
          </w:tcPr>
          <w:p w14:paraId="0F34EEF5">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2.40</w:t>
            </w:r>
          </w:p>
        </w:tc>
        <w:tc>
          <w:tcPr>
            <w:tcW w:w="1335" w:type="dxa"/>
            <w:tcMar>
              <w:top w:w="0" w:type="dxa"/>
              <w:left w:w="105" w:type="dxa"/>
              <w:bottom w:w="0" w:type="dxa"/>
              <w:right w:w="105" w:type="dxa"/>
            </w:tcMar>
            <w:vAlign w:val="center"/>
          </w:tcPr>
          <w:p w14:paraId="3E1F2EBD">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0494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51" w:type="dxa"/>
            <w:tcMar>
              <w:top w:w="0" w:type="dxa"/>
              <w:left w:w="105" w:type="dxa"/>
              <w:bottom w:w="0" w:type="dxa"/>
              <w:right w:w="105" w:type="dxa"/>
            </w:tcMar>
            <w:vAlign w:val="center"/>
          </w:tcPr>
          <w:p w14:paraId="1D52CC51">
            <w:pPr>
              <w:pStyle w:val="172"/>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27" w:type="dxa"/>
            <w:tcMar>
              <w:top w:w="0" w:type="dxa"/>
              <w:left w:w="105" w:type="dxa"/>
              <w:bottom w:w="0" w:type="dxa"/>
              <w:right w:w="105" w:type="dxa"/>
            </w:tcMar>
            <w:vAlign w:val="center"/>
          </w:tcPr>
          <w:p w14:paraId="20D216CF">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茶饮料2</w:t>
            </w:r>
          </w:p>
        </w:tc>
        <w:tc>
          <w:tcPr>
            <w:tcW w:w="2948" w:type="dxa"/>
          </w:tcPr>
          <w:p w14:paraId="4946368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1.每瓶净含量：410ml~430ml，有绿茶、乌龙茶、花茶等多种口味，开瓶即饮；</w:t>
            </w:r>
          </w:p>
          <w:p w14:paraId="0D79779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2.茶多酚、咖啡因等原料符合国家标准；</w:t>
            </w:r>
          </w:p>
          <w:p w14:paraId="0F063D2A">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3.符合GB/T 21733-2008《茶饮料》标准规定。</w:t>
            </w:r>
          </w:p>
        </w:tc>
        <w:tc>
          <w:tcPr>
            <w:tcW w:w="1530" w:type="dxa"/>
            <w:tcMar>
              <w:top w:w="0" w:type="dxa"/>
              <w:left w:w="105" w:type="dxa"/>
              <w:bottom w:w="0" w:type="dxa"/>
              <w:right w:w="105" w:type="dxa"/>
            </w:tcMar>
            <w:vAlign w:val="center"/>
          </w:tcPr>
          <w:p w14:paraId="6B769E57">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4.10</w:t>
            </w:r>
          </w:p>
        </w:tc>
        <w:tc>
          <w:tcPr>
            <w:tcW w:w="1335" w:type="dxa"/>
            <w:tcMar>
              <w:top w:w="0" w:type="dxa"/>
              <w:left w:w="105" w:type="dxa"/>
              <w:bottom w:w="0" w:type="dxa"/>
              <w:right w:w="105" w:type="dxa"/>
            </w:tcMar>
            <w:vAlign w:val="center"/>
          </w:tcPr>
          <w:p w14:paraId="5674536F">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2A32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951" w:type="dxa"/>
            <w:tcMar>
              <w:top w:w="0" w:type="dxa"/>
              <w:left w:w="105" w:type="dxa"/>
              <w:bottom w:w="0" w:type="dxa"/>
              <w:right w:w="105" w:type="dxa"/>
            </w:tcMar>
            <w:vAlign w:val="center"/>
          </w:tcPr>
          <w:p w14:paraId="44A8ACA5">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27" w:type="dxa"/>
            <w:tcMar>
              <w:top w:w="0" w:type="dxa"/>
              <w:left w:w="105" w:type="dxa"/>
              <w:bottom w:w="0" w:type="dxa"/>
              <w:right w:w="105" w:type="dxa"/>
            </w:tcMar>
            <w:vAlign w:val="center"/>
          </w:tcPr>
          <w:p w14:paraId="062C5209">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茶饮料3</w:t>
            </w:r>
          </w:p>
        </w:tc>
        <w:tc>
          <w:tcPr>
            <w:tcW w:w="2948" w:type="dxa"/>
          </w:tcPr>
          <w:p w14:paraId="58E935F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1.每瓶净含量：470ml~480ml，有青柠红茶等多种口味，开瓶即饮；</w:t>
            </w:r>
          </w:p>
          <w:p w14:paraId="460002F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2.茶多酚、咖啡因等原料符合国家标准；</w:t>
            </w:r>
          </w:p>
          <w:p w14:paraId="396CCEC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3.符合GB/T 21733-2008《茶饮料》标准规定。</w:t>
            </w:r>
          </w:p>
        </w:tc>
        <w:tc>
          <w:tcPr>
            <w:tcW w:w="1530" w:type="dxa"/>
            <w:tcMar>
              <w:top w:w="0" w:type="dxa"/>
              <w:left w:w="105" w:type="dxa"/>
              <w:bottom w:w="0" w:type="dxa"/>
              <w:right w:w="105" w:type="dxa"/>
            </w:tcMar>
            <w:vAlign w:val="center"/>
          </w:tcPr>
          <w:p w14:paraId="2C35F707">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4.10</w:t>
            </w:r>
          </w:p>
        </w:tc>
        <w:tc>
          <w:tcPr>
            <w:tcW w:w="1335" w:type="dxa"/>
            <w:tcMar>
              <w:top w:w="0" w:type="dxa"/>
              <w:left w:w="105" w:type="dxa"/>
              <w:bottom w:w="0" w:type="dxa"/>
              <w:right w:w="105" w:type="dxa"/>
            </w:tcMar>
            <w:vAlign w:val="center"/>
          </w:tcPr>
          <w:p w14:paraId="1FEF143B">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6ED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51" w:type="dxa"/>
            <w:tcMar>
              <w:top w:w="0" w:type="dxa"/>
              <w:left w:w="105" w:type="dxa"/>
              <w:bottom w:w="0" w:type="dxa"/>
              <w:right w:w="105" w:type="dxa"/>
            </w:tcMar>
            <w:vAlign w:val="center"/>
          </w:tcPr>
          <w:p w14:paraId="762EECA8">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27" w:type="dxa"/>
            <w:tcMar>
              <w:top w:w="0" w:type="dxa"/>
              <w:left w:w="105" w:type="dxa"/>
              <w:bottom w:w="0" w:type="dxa"/>
              <w:right w:w="105" w:type="dxa"/>
            </w:tcMar>
            <w:vAlign w:val="center"/>
          </w:tcPr>
          <w:p w14:paraId="5D6C6DFE">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茶饮料4</w:t>
            </w:r>
          </w:p>
        </w:tc>
        <w:tc>
          <w:tcPr>
            <w:tcW w:w="2948" w:type="dxa"/>
          </w:tcPr>
          <w:p w14:paraId="240F623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1.每瓶净含量：440ml~510ml，有原味奶茶、青提、白桃等多种口味，开瓶即饮；</w:t>
            </w:r>
          </w:p>
          <w:p w14:paraId="5C7C564D">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2.茶多酚、咖啡因等原料符合国家标准；</w:t>
            </w:r>
          </w:p>
          <w:p w14:paraId="768A6085">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21733-2008《茶饮料》标准规定；</w:t>
            </w:r>
          </w:p>
        </w:tc>
        <w:tc>
          <w:tcPr>
            <w:tcW w:w="1530" w:type="dxa"/>
            <w:tcMar>
              <w:top w:w="0" w:type="dxa"/>
              <w:left w:w="105" w:type="dxa"/>
              <w:bottom w:w="0" w:type="dxa"/>
              <w:right w:w="105" w:type="dxa"/>
            </w:tcMar>
            <w:vAlign w:val="center"/>
          </w:tcPr>
          <w:p w14:paraId="4EEAFC5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3.40</w:t>
            </w:r>
          </w:p>
        </w:tc>
        <w:tc>
          <w:tcPr>
            <w:tcW w:w="1335" w:type="dxa"/>
            <w:tcMar>
              <w:top w:w="0" w:type="dxa"/>
              <w:left w:w="105" w:type="dxa"/>
              <w:bottom w:w="0" w:type="dxa"/>
              <w:right w:w="105" w:type="dxa"/>
            </w:tcMar>
            <w:vAlign w:val="center"/>
          </w:tcPr>
          <w:p w14:paraId="28C400CA">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183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51" w:type="dxa"/>
            <w:tcMar>
              <w:top w:w="0" w:type="dxa"/>
              <w:left w:w="105" w:type="dxa"/>
              <w:bottom w:w="0" w:type="dxa"/>
              <w:right w:w="105" w:type="dxa"/>
            </w:tcMar>
            <w:vAlign w:val="center"/>
          </w:tcPr>
          <w:p w14:paraId="7BAB8089">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27" w:type="dxa"/>
            <w:tcMar>
              <w:top w:w="0" w:type="dxa"/>
              <w:left w:w="105" w:type="dxa"/>
              <w:bottom w:w="0" w:type="dxa"/>
              <w:right w:w="105" w:type="dxa"/>
            </w:tcMar>
            <w:vAlign w:val="center"/>
          </w:tcPr>
          <w:p w14:paraId="2EE6F671">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果蔬汁类及其饮料1</w:t>
            </w:r>
          </w:p>
        </w:tc>
        <w:tc>
          <w:tcPr>
            <w:tcW w:w="2948" w:type="dxa"/>
          </w:tcPr>
          <w:p w14:paraId="4540259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1.每瓶净含量：440ml~450ml，橙汁口味，开瓶即饮；</w:t>
            </w:r>
          </w:p>
          <w:p w14:paraId="4CBA8D2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2.具有所标示的该种（或几种）水果、蔬菜制成的汁液相符的色泽；香气及滋味，无异味，无可见外来杂质，无褐变，无果肉或囊胞沉淀；</w:t>
            </w:r>
          </w:p>
          <w:p w14:paraId="789C4877">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21731-2008《橙汁及橙汁饮料》标准规定。</w:t>
            </w:r>
          </w:p>
        </w:tc>
        <w:tc>
          <w:tcPr>
            <w:tcW w:w="1530" w:type="dxa"/>
            <w:tcMar>
              <w:top w:w="0" w:type="dxa"/>
              <w:left w:w="105" w:type="dxa"/>
              <w:bottom w:w="0" w:type="dxa"/>
              <w:right w:w="105" w:type="dxa"/>
            </w:tcMar>
            <w:vAlign w:val="center"/>
          </w:tcPr>
          <w:p w14:paraId="63C326F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2.80</w:t>
            </w:r>
          </w:p>
        </w:tc>
        <w:tc>
          <w:tcPr>
            <w:tcW w:w="1335" w:type="dxa"/>
            <w:tcMar>
              <w:top w:w="0" w:type="dxa"/>
              <w:left w:w="105" w:type="dxa"/>
              <w:bottom w:w="0" w:type="dxa"/>
              <w:right w:w="105" w:type="dxa"/>
            </w:tcMar>
            <w:vAlign w:val="center"/>
          </w:tcPr>
          <w:p w14:paraId="76EBD54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5B8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51" w:type="dxa"/>
            <w:tcMar>
              <w:top w:w="0" w:type="dxa"/>
              <w:left w:w="105" w:type="dxa"/>
              <w:bottom w:w="0" w:type="dxa"/>
              <w:right w:w="105" w:type="dxa"/>
            </w:tcMar>
            <w:vAlign w:val="center"/>
          </w:tcPr>
          <w:p w14:paraId="64F7140B">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27" w:type="dxa"/>
            <w:tcMar>
              <w:top w:w="0" w:type="dxa"/>
              <w:left w:w="105" w:type="dxa"/>
              <w:bottom w:w="0" w:type="dxa"/>
              <w:right w:w="105" w:type="dxa"/>
            </w:tcMar>
            <w:vAlign w:val="center"/>
          </w:tcPr>
          <w:p w14:paraId="4FC1AA45">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果蔬汁类及其饮料2</w:t>
            </w:r>
          </w:p>
          <w:p w14:paraId="16FC1D4C">
            <w:pPr>
              <w:pStyle w:val="172"/>
              <w:jc w:val="center"/>
              <w:rPr>
                <w:rFonts w:hint="eastAsia" w:ascii="宋体" w:hAnsi="宋体" w:eastAsia="宋体" w:cs="宋体"/>
                <w:color w:val="auto"/>
                <w:sz w:val="21"/>
                <w:szCs w:val="21"/>
              </w:rPr>
            </w:pPr>
          </w:p>
        </w:tc>
        <w:tc>
          <w:tcPr>
            <w:tcW w:w="2948" w:type="dxa"/>
          </w:tcPr>
          <w:p w14:paraId="1BDD6C5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1.每瓶/罐净含量：300ml-330ml，橙汁口味，开瓶即饮；</w:t>
            </w:r>
          </w:p>
          <w:p w14:paraId="683BAB7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2.具有所标示的该种（或几种）水果、蔬菜制成的汁液相符的色泽；香气及滋味，无异味，无可见外来杂质，无褐变，无果肉或囊胞沉淀；</w:t>
            </w:r>
          </w:p>
          <w:p w14:paraId="1A59594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21731-2008《橙汁及橙汁饮料》标准规定。</w:t>
            </w:r>
          </w:p>
        </w:tc>
        <w:tc>
          <w:tcPr>
            <w:tcW w:w="1530" w:type="dxa"/>
            <w:tcMar>
              <w:top w:w="0" w:type="dxa"/>
              <w:left w:w="105" w:type="dxa"/>
              <w:bottom w:w="0" w:type="dxa"/>
              <w:right w:w="105" w:type="dxa"/>
            </w:tcMar>
            <w:vAlign w:val="center"/>
          </w:tcPr>
          <w:p w14:paraId="2A2603FD">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1335" w:type="dxa"/>
            <w:tcMar>
              <w:top w:w="0" w:type="dxa"/>
              <w:left w:w="105" w:type="dxa"/>
              <w:bottom w:w="0" w:type="dxa"/>
              <w:right w:w="105" w:type="dxa"/>
            </w:tcMar>
            <w:vAlign w:val="center"/>
          </w:tcPr>
          <w:p w14:paraId="56B40AE4">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0011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1" w:type="dxa"/>
            <w:tcMar>
              <w:top w:w="0" w:type="dxa"/>
              <w:left w:w="105" w:type="dxa"/>
              <w:bottom w:w="0" w:type="dxa"/>
              <w:right w:w="105" w:type="dxa"/>
            </w:tcMar>
            <w:vAlign w:val="center"/>
          </w:tcPr>
          <w:p w14:paraId="589120C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27" w:type="dxa"/>
            <w:tcMar>
              <w:top w:w="0" w:type="dxa"/>
              <w:left w:w="105" w:type="dxa"/>
              <w:bottom w:w="0" w:type="dxa"/>
              <w:right w:w="105" w:type="dxa"/>
            </w:tcMar>
            <w:vAlign w:val="center"/>
          </w:tcPr>
          <w:p w14:paraId="0E9FC33D">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果蔬汁类及其饮料3</w:t>
            </w:r>
          </w:p>
        </w:tc>
        <w:tc>
          <w:tcPr>
            <w:tcW w:w="2948" w:type="dxa"/>
          </w:tcPr>
          <w:p w14:paraId="420C3B81">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1.每瓶/罐净含量：490ml-500ml，雪梨口味，开瓶即饮；</w:t>
            </w:r>
          </w:p>
          <w:p w14:paraId="59B2D4A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2.具有所标示的该种（或几种）水果、蔬菜制成的汁液相符的色泽，或具有与添加成分相符的色泽；应有的滋味和气味，或具有与添加成分相符的滋味和气味；无异味；</w:t>
            </w:r>
          </w:p>
          <w:p w14:paraId="4C9AC02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31121-2014《果蔬汁类及其饮料》标准。</w:t>
            </w:r>
          </w:p>
        </w:tc>
        <w:tc>
          <w:tcPr>
            <w:tcW w:w="1530" w:type="dxa"/>
            <w:tcMar>
              <w:top w:w="0" w:type="dxa"/>
              <w:left w:w="105" w:type="dxa"/>
              <w:bottom w:w="0" w:type="dxa"/>
              <w:right w:w="105" w:type="dxa"/>
            </w:tcMar>
            <w:vAlign w:val="center"/>
          </w:tcPr>
          <w:p w14:paraId="71B49649">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2.40</w:t>
            </w:r>
          </w:p>
        </w:tc>
        <w:tc>
          <w:tcPr>
            <w:tcW w:w="1335" w:type="dxa"/>
            <w:tcMar>
              <w:top w:w="0" w:type="dxa"/>
              <w:left w:w="105" w:type="dxa"/>
              <w:bottom w:w="0" w:type="dxa"/>
              <w:right w:w="105" w:type="dxa"/>
            </w:tcMar>
            <w:vAlign w:val="center"/>
          </w:tcPr>
          <w:p w14:paraId="49DD4148">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586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51" w:type="dxa"/>
            <w:tcMar>
              <w:top w:w="0" w:type="dxa"/>
              <w:left w:w="105" w:type="dxa"/>
              <w:bottom w:w="0" w:type="dxa"/>
              <w:right w:w="105" w:type="dxa"/>
            </w:tcMar>
            <w:vAlign w:val="center"/>
          </w:tcPr>
          <w:p w14:paraId="177E6A30">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27" w:type="dxa"/>
            <w:tcMar>
              <w:top w:w="0" w:type="dxa"/>
              <w:left w:w="105" w:type="dxa"/>
              <w:bottom w:w="0" w:type="dxa"/>
              <w:right w:w="105" w:type="dxa"/>
            </w:tcMar>
            <w:vAlign w:val="center"/>
          </w:tcPr>
          <w:p w14:paraId="10F6AA41">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果蔬汁类及其饮料4</w:t>
            </w:r>
          </w:p>
        </w:tc>
        <w:tc>
          <w:tcPr>
            <w:tcW w:w="2948" w:type="dxa"/>
          </w:tcPr>
          <w:p w14:paraId="6B6F5958">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1.每瓶净含量：410ml-430ml，有多种口味（两种及以上），开瓶即饮；</w:t>
            </w:r>
          </w:p>
          <w:p w14:paraId="7DF366F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2.具有所标示的该种（或几种）水果制成的汁液相符的色泽，；具有该产品应有的色泽、气味和滋味，无异味，无正常视力可见的外来杂质；</w:t>
            </w:r>
          </w:p>
          <w:p w14:paraId="6257F46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3DE65029">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3.40</w:t>
            </w:r>
          </w:p>
        </w:tc>
        <w:tc>
          <w:tcPr>
            <w:tcW w:w="1335" w:type="dxa"/>
            <w:tcMar>
              <w:top w:w="0" w:type="dxa"/>
              <w:left w:w="105" w:type="dxa"/>
              <w:bottom w:w="0" w:type="dxa"/>
              <w:right w:w="105" w:type="dxa"/>
            </w:tcMar>
            <w:vAlign w:val="center"/>
          </w:tcPr>
          <w:p w14:paraId="4710B60F">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523B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951" w:type="dxa"/>
            <w:tcMar>
              <w:top w:w="0" w:type="dxa"/>
              <w:left w:w="105" w:type="dxa"/>
              <w:bottom w:w="0" w:type="dxa"/>
              <w:right w:w="105" w:type="dxa"/>
            </w:tcMar>
            <w:vAlign w:val="center"/>
          </w:tcPr>
          <w:p w14:paraId="07F4C1D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27" w:type="dxa"/>
            <w:tcMar>
              <w:top w:w="0" w:type="dxa"/>
              <w:left w:w="105" w:type="dxa"/>
              <w:bottom w:w="0" w:type="dxa"/>
              <w:right w:w="105" w:type="dxa"/>
            </w:tcMar>
            <w:vAlign w:val="center"/>
          </w:tcPr>
          <w:p w14:paraId="192E146B">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电解质饮料</w:t>
            </w:r>
          </w:p>
        </w:tc>
        <w:tc>
          <w:tcPr>
            <w:tcW w:w="2948" w:type="dxa"/>
          </w:tcPr>
          <w:p w14:paraId="12450CC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1.每瓶净含量：490ml~500ml，有多种口味（两种及以上），开瓶即饮；</w:t>
            </w:r>
          </w:p>
          <w:p w14:paraId="5B473F77">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2.呈产品应有的颜色，色泽均匀一致； 具有与该产品添加成分相符的气味和滋味，味微甜，无异味；均匀液体;无肉眼可见的外来杂质；</w:t>
            </w:r>
          </w:p>
          <w:p w14:paraId="7C78373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6C077CE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3.30</w:t>
            </w:r>
          </w:p>
        </w:tc>
        <w:tc>
          <w:tcPr>
            <w:tcW w:w="1335" w:type="dxa"/>
            <w:tcMar>
              <w:top w:w="0" w:type="dxa"/>
              <w:left w:w="105" w:type="dxa"/>
              <w:bottom w:w="0" w:type="dxa"/>
              <w:right w:w="105" w:type="dxa"/>
            </w:tcMar>
            <w:vAlign w:val="center"/>
          </w:tcPr>
          <w:p w14:paraId="1C0E39F4">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096E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51" w:type="dxa"/>
            <w:tcMar>
              <w:top w:w="0" w:type="dxa"/>
              <w:left w:w="105" w:type="dxa"/>
              <w:bottom w:w="0" w:type="dxa"/>
              <w:right w:w="105" w:type="dxa"/>
            </w:tcMar>
            <w:vAlign w:val="center"/>
          </w:tcPr>
          <w:p w14:paraId="27BC17E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327" w:type="dxa"/>
            <w:tcMar>
              <w:top w:w="0" w:type="dxa"/>
              <w:left w:w="105" w:type="dxa"/>
              <w:bottom w:w="0" w:type="dxa"/>
              <w:right w:w="105" w:type="dxa"/>
            </w:tcMar>
            <w:vAlign w:val="center"/>
          </w:tcPr>
          <w:p w14:paraId="2222830E">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营养素饮料</w:t>
            </w:r>
          </w:p>
        </w:tc>
        <w:tc>
          <w:tcPr>
            <w:tcW w:w="2948" w:type="dxa"/>
          </w:tcPr>
          <w:p w14:paraId="2FAEBFC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1.每瓶净含量：490ml~550ml，有桃子味、橙汁味多种口味，开瓶即饮；</w:t>
            </w:r>
          </w:p>
          <w:p w14:paraId="01C978E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2.具有该产品应有的色泽，滋味、气味，无发现异味异嗅。无正常视力可见外来异物；</w:t>
            </w:r>
          </w:p>
          <w:p w14:paraId="24C8EAD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6E3866CC">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1335" w:type="dxa"/>
            <w:tcMar>
              <w:top w:w="0" w:type="dxa"/>
              <w:left w:w="105" w:type="dxa"/>
              <w:bottom w:w="0" w:type="dxa"/>
              <w:right w:w="105" w:type="dxa"/>
            </w:tcMar>
            <w:vAlign w:val="center"/>
          </w:tcPr>
          <w:p w14:paraId="30E7145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25E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1" w:type="dxa"/>
            <w:tcMar>
              <w:top w:w="0" w:type="dxa"/>
              <w:left w:w="105" w:type="dxa"/>
              <w:bottom w:w="0" w:type="dxa"/>
              <w:right w:w="105" w:type="dxa"/>
            </w:tcMar>
            <w:vAlign w:val="center"/>
          </w:tcPr>
          <w:p w14:paraId="310FB7CD">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327" w:type="dxa"/>
            <w:tcMar>
              <w:top w:w="0" w:type="dxa"/>
              <w:left w:w="105" w:type="dxa"/>
              <w:bottom w:w="0" w:type="dxa"/>
              <w:right w:w="105" w:type="dxa"/>
            </w:tcMar>
            <w:vAlign w:val="center"/>
          </w:tcPr>
          <w:p w14:paraId="397D67C9">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苏打水</w:t>
            </w:r>
          </w:p>
          <w:p w14:paraId="130A7740">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风味饮品1</w:t>
            </w:r>
          </w:p>
        </w:tc>
        <w:tc>
          <w:tcPr>
            <w:tcW w:w="2948" w:type="dxa"/>
          </w:tcPr>
          <w:p w14:paraId="53288EA8">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1.每瓶净含量：350ml~370ml，有原味、青柠、白桃多种口味，开瓶即饮；</w:t>
            </w:r>
          </w:p>
          <w:p w14:paraId="1FAD361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2.具有该产品固有的色泽，组织形态/性状；滋味和气味，无异味，无肉眼可见外来杂质；</w:t>
            </w:r>
          </w:p>
          <w:p w14:paraId="57C35F0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7101-2022《食品安全国家标准饮料》规定。</w:t>
            </w:r>
          </w:p>
        </w:tc>
        <w:tc>
          <w:tcPr>
            <w:tcW w:w="1530" w:type="dxa"/>
            <w:tcMar>
              <w:top w:w="0" w:type="dxa"/>
              <w:left w:w="105" w:type="dxa"/>
              <w:bottom w:w="0" w:type="dxa"/>
              <w:right w:w="105" w:type="dxa"/>
            </w:tcMar>
            <w:vAlign w:val="center"/>
          </w:tcPr>
          <w:p w14:paraId="0BF0977E">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2.30</w:t>
            </w:r>
          </w:p>
        </w:tc>
        <w:tc>
          <w:tcPr>
            <w:tcW w:w="1335" w:type="dxa"/>
            <w:tcMar>
              <w:top w:w="0" w:type="dxa"/>
              <w:left w:w="105" w:type="dxa"/>
              <w:bottom w:w="0" w:type="dxa"/>
              <w:right w:w="105" w:type="dxa"/>
            </w:tcMar>
            <w:vAlign w:val="center"/>
          </w:tcPr>
          <w:p w14:paraId="626A4890">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6F6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51" w:type="dxa"/>
            <w:tcMar>
              <w:top w:w="0" w:type="dxa"/>
              <w:left w:w="105" w:type="dxa"/>
              <w:bottom w:w="0" w:type="dxa"/>
              <w:right w:w="105" w:type="dxa"/>
            </w:tcMar>
            <w:vAlign w:val="center"/>
          </w:tcPr>
          <w:p w14:paraId="1813EDD5">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327" w:type="dxa"/>
            <w:tcMar>
              <w:top w:w="0" w:type="dxa"/>
              <w:left w:w="105" w:type="dxa"/>
              <w:bottom w:w="0" w:type="dxa"/>
              <w:right w:w="105" w:type="dxa"/>
            </w:tcMar>
            <w:vAlign w:val="center"/>
          </w:tcPr>
          <w:p w14:paraId="6700A68B">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苏打水</w:t>
            </w:r>
          </w:p>
          <w:p w14:paraId="12988C71">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风味饮品2</w:t>
            </w:r>
          </w:p>
        </w:tc>
        <w:tc>
          <w:tcPr>
            <w:tcW w:w="2948" w:type="dxa"/>
          </w:tcPr>
          <w:p w14:paraId="10A2F5E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1.每瓶净含量：440ml~460ml，有含锌、烟酸多种口味，开瓶即饮；</w:t>
            </w:r>
          </w:p>
          <w:p w14:paraId="6104C55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2.具有该类产品特点的外观、滋味，不得有异味、臭味和外来杂质；该产品固有的滋味和气味，无异味，无肉眼可见外来杂质。</w:t>
            </w:r>
          </w:p>
          <w:p w14:paraId="2FC8415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08DC9BB1">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335" w:type="dxa"/>
            <w:tcMar>
              <w:top w:w="0" w:type="dxa"/>
              <w:left w:w="105" w:type="dxa"/>
              <w:bottom w:w="0" w:type="dxa"/>
              <w:right w:w="105" w:type="dxa"/>
            </w:tcMar>
            <w:vAlign w:val="center"/>
          </w:tcPr>
          <w:p w14:paraId="7B0ED958">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6835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951" w:type="dxa"/>
            <w:tcMar>
              <w:top w:w="0" w:type="dxa"/>
              <w:left w:w="105" w:type="dxa"/>
              <w:bottom w:w="0" w:type="dxa"/>
              <w:right w:w="105" w:type="dxa"/>
            </w:tcMar>
            <w:vAlign w:val="center"/>
          </w:tcPr>
          <w:p w14:paraId="2E8D528A">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327" w:type="dxa"/>
            <w:tcMar>
              <w:top w:w="0" w:type="dxa"/>
              <w:left w:w="105" w:type="dxa"/>
              <w:bottom w:w="0" w:type="dxa"/>
              <w:right w:w="105" w:type="dxa"/>
            </w:tcMar>
            <w:vAlign w:val="center"/>
          </w:tcPr>
          <w:p w14:paraId="7DB62DF2">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水果牛奶饮料</w:t>
            </w:r>
          </w:p>
        </w:tc>
        <w:tc>
          <w:tcPr>
            <w:tcW w:w="2948" w:type="dxa"/>
          </w:tcPr>
          <w:p w14:paraId="7FEF23B3">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1.每瓶净含量：440ml~460ml，有多种口味（两种及以上），开瓶即饮；</w:t>
            </w:r>
          </w:p>
          <w:p w14:paraId="16907B7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均匀乳白色、乳黄色或带有添加辅料的相应色泽杂质，均匀细腻的乳浊液，无分层现象，允许有少量沉淀，无外来杂质；特有的乳香滋味和气味或具有加入辅料相符的滋味和气味，发酵产品具有特有的发酵芳香滋味和气味；无异味；</w:t>
            </w:r>
          </w:p>
          <w:p w14:paraId="52A632E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58BBF45C">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3.60</w:t>
            </w:r>
          </w:p>
        </w:tc>
        <w:tc>
          <w:tcPr>
            <w:tcW w:w="1335" w:type="dxa"/>
            <w:tcMar>
              <w:top w:w="0" w:type="dxa"/>
              <w:left w:w="105" w:type="dxa"/>
              <w:bottom w:w="0" w:type="dxa"/>
              <w:right w:w="105" w:type="dxa"/>
            </w:tcMar>
            <w:vAlign w:val="center"/>
          </w:tcPr>
          <w:p w14:paraId="7FE737CA">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485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51" w:type="dxa"/>
            <w:tcMar>
              <w:top w:w="0" w:type="dxa"/>
              <w:left w:w="105" w:type="dxa"/>
              <w:bottom w:w="0" w:type="dxa"/>
              <w:right w:w="105" w:type="dxa"/>
            </w:tcMar>
            <w:vAlign w:val="center"/>
          </w:tcPr>
          <w:p w14:paraId="2F845B92">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327" w:type="dxa"/>
            <w:tcMar>
              <w:top w:w="0" w:type="dxa"/>
              <w:left w:w="105" w:type="dxa"/>
              <w:bottom w:w="0" w:type="dxa"/>
              <w:right w:w="105" w:type="dxa"/>
            </w:tcMar>
            <w:vAlign w:val="center"/>
          </w:tcPr>
          <w:p w14:paraId="7346499C">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发酵风味饮料</w:t>
            </w:r>
          </w:p>
        </w:tc>
        <w:tc>
          <w:tcPr>
            <w:tcW w:w="2948" w:type="dxa"/>
          </w:tcPr>
          <w:p w14:paraId="043B847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1.每瓶净含量：490ml~510ml，开瓶即饮，有多种口味（两种及以上）；</w:t>
            </w:r>
          </w:p>
          <w:p w14:paraId="5052AF6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2.产品具有相应的色泽、气味与滋味；组织状态；无异味，均匀液状，无沉淀，无肉眼可见的外来杂质；</w:t>
            </w:r>
          </w:p>
          <w:p w14:paraId="31D26F08">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7101-2022《食品安全国家标准饮料》标准规定。</w:t>
            </w:r>
          </w:p>
        </w:tc>
        <w:tc>
          <w:tcPr>
            <w:tcW w:w="1530" w:type="dxa"/>
            <w:tcMar>
              <w:top w:w="0" w:type="dxa"/>
              <w:left w:w="105" w:type="dxa"/>
              <w:bottom w:w="0" w:type="dxa"/>
              <w:right w:w="105" w:type="dxa"/>
            </w:tcMar>
            <w:vAlign w:val="center"/>
          </w:tcPr>
          <w:p w14:paraId="4A2598D0">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4.10</w:t>
            </w:r>
          </w:p>
        </w:tc>
        <w:tc>
          <w:tcPr>
            <w:tcW w:w="1335" w:type="dxa"/>
            <w:tcMar>
              <w:top w:w="0" w:type="dxa"/>
              <w:left w:w="105" w:type="dxa"/>
              <w:bottom w:w="0" w:type="dxa"/>
              <w:right w:w="105" w:type="dxa"/>
            </w:tcMar>
            <w:vAlign w:val="center"/>
          </w:tcPr>
          <w:p w14:paraId="1EF57142">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20A1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51" w:type="dxa"/>
            <w:tcMar>
              <w:top w:w="0" w:type="dxa"/>
              <w:left w:w="105" w:type="dxa"/>
              <w:bottom w:w="0" w:type="dxa"/>
              <w:right w:w="105" w:type="dxa"/>
            </w:tcMar>
            <w:vAlign w:val="center"/>
          </w:tcPr>
          <w:p w14:paraId="64D28657">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327" w:type="dxa"/>
            <w:tcMar>
              <w:top w:w="0" w:type="dxa"/>
              <w:left w:w="105" w:type="dxa"/>
              <w:bottom w:w="0" w:type="dxa"/>
              <w:right w:w="105" w:type="dxa"/>
            </w:tcMar>
            <w:vAlign w:val="center"/>
          </w:tcPr>
          <w:p w14:paraId="58E55148">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汽水瓶装</w:t>
            </w:r>
          </w:p>
        </w:tc>
        <w:tc>
          <w:tcPr>
            <w:tcW w:w="2948" w:type="dxa"/>
          </w:tcPr>
          <w:p w14:paraId="1E3F2284">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1.每瓶净含量：490ml~550ml，果味型碳酸饮料或可乐型碳酸饮料，开瓶即饮；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2.具有反映该类产品特点的外观、滋味，不得有异味、臭味和外来杂质；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3.二氧化碳气容量（20℃）≥1.5倍；</w:t>
            </w:r>
          </w:p>
          <w:p w14:paraId="11495ABD">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4.满足GB/T 10792-2008《碳酸饮料(汽水)》。</w:t>
            </w:r>
          </w:p>
        </w:tc>
        <w:tc>
          <w:tcPr>
            <w:tcW w:w="1530" w:type="dxa"/>
            <w:tcMar>
              <w:top w:w="0" w:type="dxa"/>
              <w:left w:w="105" w:type="dxa"/>
              <w:bottom w:w="0" w:type="dxa"/>
              <w:right w:w="105" w:type="dxa"/>
            </w:tcMar>
            <w:vAlign w:val="center"/>
          </w:tcPr>
          <w:p w14:paraId="7790CD71">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2.55</w:t>
            </w:r>
          </w:p>
        </w:tc>
        <w:tc>
          <w:tcPr>
            <w:tcW w:w="1335" w:type="dxa"/>
            <w:tcMar>
              <w:top w:w="0" w:type="dxa"/>
              <w:left w:w="105" w:type="dxa"/>
              <w:bottom w:w="0" w:type="dxa"/>
              <w:right w:w="105" w:type="dxa"/>
            </w:tcMar>
            <w:vAlign w:val="center"/>
          </w:tcPr>
          <w:p w14:paraId="216FF382">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0755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51" w:type="dxa"/>
            <w:tcMar>
              <w:top w:w="0" w:type="dxa"/>
              <w:left w:w="105" w:type="dxa"/>
              <w:bottom w:w="0" w:type="dxa"/>
              <w:right w:w="105" w:type="dxa"/>
            </w:tcMar>
            <w:vAlign w:val="center"/>
          </w:tcPr>
          <w:p w14:paraId="38A1BABB">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327" w:type="dxa"/>
            <w:tcMar>
              <w:top w:w="0" w:type="dxa"/>
              <w:left w:w="105" w:type="dxa"/>
              <w:bottom w:w="0" w:type="dxa"/>
              <w:right w:w="105" w:type="dxa"/>
            </w:tcMar>
            <w:vAlign w:val="center"/>
          </w:tcPr>
          <w:p w14:paraId="5A582206">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无糖汽水瓶装</w:t>
            </w:r>
          </w:p>
        </w:tc>
        <w:tc>
          <w:tcPr>
            <w:tcW w:w="2948" w:type="dxa"/>
          </w:tcPr>
          <w:p w14:paraId="753C4B4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1.每瓶净含量：490ml~550ml，果味型碳酸饮料或可乐型碳酸饮料，开瓶即饮；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2.具有反映该类产品特点的外观、滋味，不得有异味、臭味和外来杂质；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3.二氧化碳气容量（20℃）≥1.5倍；</w:t>
            </w:r>
          </w:p>
          <w:p w14:paraId="4C95478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4.满足GB/T 10792-2008《碳酸饮料(汽水)》标准规定。</w:t>
            </w:r>
          </w:p>
        </w:tc>
        <w:tc>
          <w:tcPr>
            <w:tcW w:w="1530" w:type="dxa"/>
            <w:tcMar>
              <w:top w:w="0" w:type="dxa"/>
              <w:left w:w="105" w:type="dxa"/>
              <w:bottom w:w="0" w:type="dxa"/>
              <w:right w:w="105" w:type="dxa"/>
            </w:tcMar>
            <w:vAlign w:val="center"/>
          </w:tcPr>
          <w:p w14:paraId="1D2972A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2.55</w:t>
            </w:r>
          </w:p>
        </w:tc>
        <w:tc>
          <w:tcPr>
            <w:tcW w:w="1335" w:type="dxa"/>
            <w:tcMar>
              <w:top w:w="0" w:type="dxa"/>
              <w:left w:w="105" w:type="dxa"/>
              <w:bottom w:w="0" w:type="dxa"/>
              <w:right w:w="105" w:type="dxa"/>
            </w:tcMar>
            <w:vAlign w:val="center"/>
          </w:tcPr>
          <w:p w14:paraId="07CDF751">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瓶</w:t>
            </w:r>
          </w:p>
        </w:tc>
      </w:tr>
      <w:tr w14:paraId="3BF5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51" w:type="dxa"/>
            <w:tcMar>
              <w:top w:w="0" w:type="dxa"/>
              <w:left w:w="105" w:type="dxa"/>
              <w:bottom w:w="0" w:type="dxa"/>
              <w:right w:w="105" w:type="dxa"/>
            </w:tcMar>
            <w:vAlign w:val="center"/>
          </w:tcPr>
          <w:p w14:paraId="52FE51CC">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327" w:type="dxa"/>
            <w:tcMar>
              <w:top w:w="0" w:type="dxa"/>
              <w:left w:w="105" w:type="dxa"/>
              <w:bottom w:w="0" w:type="dxa"/>
              <w:right w:w="105" w:type="dxa"/>
            </w:tcMar>
            <w:vAlign w:val="center"/>
          </w:tcPr>
          <w:p w14:paraId="34C2FE07">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汽水罐装</w:t>
            </w:r>
          </w:p>
        </w:tc>
        <w:tc>
          <w:tcPr>
            <w:tcW w:w="2948" w:type="dxa"/>
          </w:tcPr>
          <w:p w14:paraId="70EA822A">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1.每罐净含量：320-340ml，果味型碳酸饮料或可乐型碳酸饮料，开瓶即饮；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2.具有反映该类产品特点的外观、滋味，不得有异味、臭味和外来杂质；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3.二氧化碳气容量（20℃）≥1.5倍；</w:t>
            </w:r>
          </w:p>
          <w:p w14:paraId="4F1EDA0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4.满足GB/T 10792-2008《碳酸饮料(汽水)》标准规定。</w:t>
            </w:r>
          </w:p>
        </w:tc>
        <w:tc>
          <w:tcPr>
            <w:tcW w:w="1530" w:type="dxa"/>
            <w:tcMar>
              <w:top w:w="0" w:type="dxa"/>
              <w:left w:w="105" w:type="dxa"/>
              <w:bottom w:w="0" w:type="dxa"/>
              <w:right w:w="105" w:type="dxa"/>
            </w:tcMar>
            <w:vAlign w:val="center"/>
          </w:tcPr>
          <w:p w14:paraId="0AF3CA98">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2.55</w:t>
            </w:r>
          </w:p>
        </w:tc>
        <w:tc>
          <w:tcPr>
            <w:tcW w:w="1335" w:type="dxa"/>
            <w:tcMar>
              <w:top w:w="0" w:type="dxa"/>
              <w:left w:w="105" w:type="dxa"/>
              <w:bottom w:w="0" w:type="dxa"/>
              <w:right w:w="105" w:type="dxa"/>
            </w:tcMar>
            <w:vAlign w:val="center"/>
          </w:tcPr>
          <w:p w14:paraId="3D4D248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罐</w:t>
            </w:r>
          </w:p>
        </w:tc>
      </w:tr>
      <w:tr w14:paraId="2908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51" w:type="dxa"/>
            <w:tcMar>
              <w:top w:w="0" w:type="dxa"/>
              <w:left w:w="105" w:type="dxa"/>
              <w:bottom w:w="0" w:type="dxa"/>
              <w:right w:w="105" w:type="dxa"/>
            </w:tcMar>
            <w:vAlign w:val="center"/>
          </w:tcPr>
          <w:p w14:paraId="75642E9F">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327" w:type="dxa"/>
            <w:tcMar>
              <w:top w:w="0" w:type="dxa"/>
              <w:left w:w="105" w:type="dxa"/>
              <w:bottom w:w="0" w:type="dxa"/>
              <w:right w:w="105" w:type="dxa"/>
            </w:tcMar>
            <w:vAlign w:val="center"/>
          </w:tcPr>
          <w:p w14:paraId="1AD346D1">
            <w:pPr>
              <w:pStyle w:val="17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维生素功能饮料</w:t>
            </w:r>
          </w:p>
        </w:tc>
        <w:tc>
          <w:tcPr>
            <w:tcW w:w="2948" w:type="dxa"/>
          </w:tcPr>
          <w:p w14:paraId="3FF92CB6">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w:t>
            </w:r>
            <w:r>
              <w:rPr>
                <w:rFonts w:hint="eastAsia" w:ascii="宋体" w:hAnsi="宋体" w:eastAsia="宋体" w:cs="宋体"/>
                <w:color w:val="auto"/>
                <w:sz w:val="21"/>
                <w:szCs w:val="21"/>
                <w:lang w:val="en-US" w:eastAsia="zh-CN"/>
              </w:rPr>
              <w:t>运动</w:t>
            </w:r>
            <w:r>
              <w:rPr>
                <w:rFonts w:hint="eastAsia" w:ascii="宋体" w:hAnsi="宋体" w:eastAsia="宋体" w:cs="宋体"/>
                <w:color w:val="auto"/>
                <w:sz w:val="21"/>
                <w:szCs w:val="21"/>
              </w:rPr>
              <w:t>饮料，开瓶即饮；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2.具有反映该类产品特点的外观、滋味，不得有异味、臭味和外来杂质；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3.二氧化碳气容量（20℃）≥1.5倍；</w:t>
            </w:r>
          </w:p>
          <w:p w14:paraId="03B0A136">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4.满足GB 7101-2022《食品安全国家标准饮料》标准规定。</w:t>
            </w:r>
          </w:p>
        </w:tc>
        <w:tc>
          <w:tcPr>
            <w:tcW w:w="1530" w:type="dxa"/>
            <w:tcMar>
              <w:top w:w="0" w:type="dxa"/>
              <w:left w:w="105" w:type="dxa"/>
              <w:bottom w:w="0" w:type="dxa"/>
              <w:right w:w="105" w:type="dxa"/>
            </w:tcMar>
            <w:vAlign w:val="center"/>
          </w:tcPr>
          <w:p w14:paraId="047C5487">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4.50</w:t>
            </w:r>
          </w:p>
        </w:tc>
        <w:tc>
          <w:tcPr>
            <w:tcW w:w="1335" w:type="dxa"/>
            <w:tcMar>
              <w:top w:w="0" w:type="dxa"/>
              <w:left w:w="105" w:type="dxa"/>
              <w:bottom w:w="0" w:type="dxa"/>
              <w:right w:w="105" w:type="dxa"/>
            </w:tcMar>
            <w:vAlign w:val="center"/>
          </w:tcPr>
          <w:p w14:paraId="563D030F">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r>
      <w:tr w14:paraId="6C0A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51" w:type="dxa"/>
            <w:tcMar>
              <w:top w:w="0" w:type="dxa"/>
              <w:left w:w="105" w:type="dxa"/>
              <w:bottom w:w="0" w:type="dxa"/>
              <w:right w:w="105" w:type="dxa"/>
            </w:tcMar>
            <w:vAlign w:val="center"/>
          </w:tcPr>
          <w:p w14:paraId="0B1C187D">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327" w:type="dxa"/>
            <w:tcMar>
              <w:top w:w="0" w:type="dxa"/>
              <w:left w:w="105" w:type="dxa"/>
              <w:bottom w:w="0" w:type="dxa"/>
              <w:right w:w="105" w:type="dxa"/>
            </w:tcMar>
            <w:vAlign w:val="center"/>
          </w:tcPr>
          <w:p w14:paraId="61DF0474">
            <w:pPr>
              <w:pStyle w:val="172"/>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瓶装饮用水</w:t>
            </w:r>
          </w:p>
        </w:tc>
        <w:tc>
          <w:tcPr>
            <w:tcW w:w="2948" w:type="dxa"/>
          </w:tcPr>
          <w:p w14:paraId="7542AAF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1.每瓶净含量：490ml~550ml，</w:t>
            </w:r>
            <w:r>
              <w:rPr>
                <w:rFonts w:hint="eastAsia" w:ascii="宋体" w:hAnsi="宋体" w:eastAsia="宋体" w:cs="宋体"/>
                <w:color w:val="auto"/>
                <w:sz w:val="21"/>
                <w:szCs w:val="21"/>
                <w:lang w:val="en-US" w:eastAsia="zh-CN"/>
              </w:rPr>
              <w:t>饮用纯净水或饮用天然水</w:t>
            </w:r>
            <w:r>
              <w:rPr>
                <w:rFonts w:hint="eastAsia" w:ascii="宋体" w:hAnsi="宋体" w:eastAsia="宋体" w:cs="宋体"/>
                <w:color w:val="auto"/>
                <w:sz w:val="21"/>
                <w:szCs w:val="21"/>
              </w:rPr>
              <w:t>，开瓶即饮；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2.具有反映该类产品特点的外观、滋味，不得有异味、臭味和外来杂质；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w:t>
            </w:r>
            <w:r>
              <w:rPr>
                <w:rFonts w:hint="eastAsia" w:ascii="宋体" w:hAnsi="宋体" w:eastAsia="宋体" w:cs="宋体"/>
                <w:color w:val="auto"/>
                <w:sz w:val="21"/>
                <w:szCs w:val="21"/>
                <w:lang w:val="en-US" w:eastAsia="zh-CN"/>
              </w:rPr>
              <w:t>满足</w:t>
            </w:r>
            <w:r>
              <w:rPr>
                <w:rFonts w:hint="default" w:ascii="宋体" w:hAnsi="宋体" w:eastAsia="宋体" w:cs="宋体"/>
                <w:color w:val="auto"/>
                <w:sz w:val="21"/>
                <w:szCs w:val="21"/>
              </w:rPr>
              <w:t>GB 19298-2014</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baidu.com/s?wd=%E3%80%8A%E9%A3%9F%E5%93%81%E5%AE%89%E5%85%A8%E5%9B%BD%E5%AE%B6%E6%A0%87%E5%87%86%E5%8C%85%E8%A3%85%E9%A5%AE%E7%94%A8%E6%B0%B4%E3%80%8B&amp;rsv_idx=2&amp;tn=54093922_43_hao_pg&amp;usm=3&amp;ie=utf-8&amp;rsv_pq=9bda16f70008641b&amp;oq=%E9%A5%AE%E7%94%A8%E5%A4%A9%E7%84%B6%E6%B0%B4%E6%89%A7%E8%A1%8C%E6%A0%87%E5%87%86&amp;rsv_t=dd40iWpPv8qumFZiKwVDM2XOzY+c/2ifI6eGgWepW4rlyEDAVDk2UcujHEK/KHGLNDrEI+iNEtvF&amp;rsv_dl=re_dqa_generate&amp;sa=re_dqa_generate" \t "https://www.baidu.com/_self" </w:instrText>
            </w:r>
            <w:r>
              <w:rPr>
                <w:rFonts w:hint="eastAsia" w:ascii="宋体" w:hAnsi="宋体" w:eastAsia="宋体" w:cs="宋体"/>
                <w:color w:val="auto"/>
                <w:sz w:val="21"/>
                <w:szCs w:val="21"/>
              </w:rPr>
              <w:fldChar w:fldCharType="separate"/>
            </w:r>
            <w:r>
              <w:rPr>
                <w:rFonts w:hint="default" w:ascii="宋体" w:hAnsi="宋体" w:eastAsia="宋体" w:cs="宋体"/>
                <w:color w:val="auto"/>
                <w:sz w:val="21"/>
                <w:szCs w:val="21"/>
              </w:rPr>
              <w:t>《食品安全国家标准包装饮用水》</w:t>
            </w:r>
            <w:r>
              <w:rPr>
                <w:rFonts w:hint="default" w:ascii="宋体" w:hAnsi="宋体" w:eastAsia="宋体" w:cs="宋体"/>
                <w:color w:val="auto"/>
                <w:sz w:val="21"/>
                <w:szCs w:val="21"/>
              </w:rPr>
              <w:fldChar w:fldCharType="end"/>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0E727F39">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1335" w:type="dxa"/>
            <w:tcMar>
              <w:top w:w="0" w:type="dxa"/>
              <w:left w:w="105" w:type="dxa"/>
              <w:bottom w:w="0" w:type="dxa"/>
              <w:right w:w="105" w:type="dxa"/>
            </w:tcMar>
            <w:vAlign w:val="center"/>
          </w:tcPr>
          <w:p w14:paraId="6AFAD575">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r>
      <w:tr w14:paraId="010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951" w:type="dxa"/>
            <w:tcMar>
              <w:top w:w="0" w:type="dxa"/>
              <w:left w:w="105" w:type="dxa"/>
              <w:bottom w:w="0" w:type="dxa"/>
              <w:right w:w="105" w:type="dxa"/>
            </w:tcMar>
            <w:vAlign w:val="center"/>
          </w:tcPr>
          <w:p w14:paraId="16A26E64">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327" w:type="dxa"/>
            <w:tcMar>
              <w:top w:w="0" w:type="dxa"/>
              <w:left w:w="105" w:type="dxa"/>
              <w:bottom w:w="0" w:type="dxa"/>
              <w:right w:w="105" w:type="dxa"/>
            </w:tcMar>
            <w:vAlign w:val="center"/>
          </w:tcPr>
          <w:p w14:paraId="04A99398">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韧性饼干</w:t>
            </w:r>
          </w:p>
        </w:tc>
        <w:tc>
          <w:tcPr>
            <w:tcW w:w="2948" w:type="dxa"/>
          </w:tcPr>
          <w:p w14:paraId="53376D6A">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1.每盒/袋净含量：100g~110g，有核桃、杏仁、腰果多种口味，开袋即食；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2.外形完整，花纹清晰或无花纹，厚薄均匀，不收缩、不变形、无裂痕；具有产品应有的色泽，香味，无异味，口感松脆，断面结构有层或呈多孔状；无正常视力可见的外来异物；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3.满足GB/T20980-2021《饼干质量通则》标准规定。</w:t>
            </w:r>
          </w:p>
        </w:tc>
        <w:tc>
          <w:tcPr>
            <w:tcW w:w="1530" w:type="dxa"/>
            <w:tcMar>
              <w:top w:w="0" w:type="dxa"/>
              <w:left w:w="105" w:type="dxa"/>
              <w:bottom w:w="0" w:type="dxa"/>
              <w:right w:w="105" w:type="dxa"/>
            </w:tcMar>
            <w:vAlign w:val="center"/>
          </w:tcPr>
          <w:p w14:paraId="0029C0C8">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3.80</w:t>
            </w:r>
          </w:p>
        </w:tc>
        <w:tc>
          <w:tcPr>
            <w:tcW w:w="1335" w:type="dxa"/>
            <w:tcMar>
              <w:top w:w="0" w:type="dxa"/>
              <w:left w:w="105" w:type="dxa"/>
              <w:bottom w:w="0" w:type="dxa"/>
              <w:right w:w="105" w:type="dxa"/>
            </w:tcMar>
            <w:vAlign w:val="center"/>
          </w:tcPr>
          <w:p w14:paraId="5F444DC2">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盒（袋）</w:t>
            </w:r>
          </w:p>
        </w:tc>
      </w:tr>
      <w:tr w14:paraId="307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951" w:type="dxa"/>
            <w:tcMar>
              <w:top w:w="0" w:type="dxa"/>
              <w:left w:w="105" w:type="dxa"/>
              <w:bottom w:w="0" w:type="dxa"/>
              <w:right w:w="105" w:type="dxa"/>
            </w:tcMar>
            <w:vAlign w:val="center"/>
          </w:tcPr>
          <w:p w14:paraId="3DD6A784">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327" w:type="dxa"/>
            <w:tcMar>
              <w:top w:w="0" w:type="dxa"/>
              <w:left w:w="105" w:type="dxa"/>
              <w:bottom w:w="0" w:type="dxa"/>
              <w:right w:w="105" w:type="dxa"/>
            </w:tcMar>
            <w:vAlign w:val="center"/>
          </w:tcPr>
          <w:p w14:paraId="6E64F998">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夹心饼干</w:t>
            </w:r>
          </w:p>
        </w:tc>
        <w:tc>
          <w:tcPr>
            <w:tcW w:w="2948" w:type="dxa"/>
          </w:tcPr>
          <w:p w14:paraId="34844AC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1.每盒/袋净含量：90g~110g，有原味、巧克力多种口味，开袋即食；</w:t>
            </w:r>
          </w:p>
          <w:p w14:paraId="6C5FB99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外形完整，边缘整齐，夹心饼干不错位，不脱片，饼干表面应符合饼干单片要求，夹心层厚薄基本均匀，夹心或注心料无明显外溢，口感酥松或松脆；具有产品应有的正常色泽，符合产品所调制的香味，无异味，无霉变，无生虫；无正常视力可见的外来异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3.满足GB/T20980-2021《饼干质量通则》标准规定。</w:t>
            </w:r>
          </w:p>
        </w:tc>
        <w:tc>
          <w:tcPr>
            <w:tcW w:w="1530" w:type="dxa"/>
            <w:tcMar>
              <w:top w:w="0" w:type="dxa"/>
              <w:left w:w="105" w:type="dxa"/>
              <w:bottom w:w="0" w:type="dxa"/>
              <w:right w:w="105" w:type="dxa"/>
            </w:tcMar>
            <w:vAlign w:val="center"/>
          </w:tcPr>
          <w:p w14:paraId="1D1E7C9E">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335" w:type="dxa"/>
            <w:tcMar>
              <w:top w:w="0" w:type="dxa"/>
              <w:left w:w="105" w:type="dxa"/>
              <w:bottom w:w="0" w:type="dxa"/>
              <w:right w:w="105" w:type="dxa"/>
            </w:tcMar>
            <w:vAlign w:val="center"/>
          </w:tcPr>
          <w:p w14:paraId="30B06114">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盒（袋）</w:t>
            </w:r>
          </w:p>
        </w:tc>
      </w:tr>
      <w:tr w14:paraId="141A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951" w:type="dxa"/>
            <w:tcMar>
              <w:top w:w="0" w:type="dxa"/>
              <w:left w:w="105" w:type="dxa"/>
              <w:bottom w:w="0" w:type="dxa"/>
              <w:right w:w="105" w:type="dxa"/>
            </w:tcMar>
            <w:vAlign w:val="center"/>
          </w:tcPr>
          <w:p w14:paraId="41FF2B7A">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327" w:type="dxa"/>
            <w:tcMar>
              <w:top w:w="0" w:type="dxa"/>
              <w:left w:w="105" w:type="dxa"/>
              <w:bottom w:w="0" w:type="dxa"/>
              <w:right w:w="105" w:type="dxa"/>
            </w:tcMar>
            <w:vAlign w:val="center"/>
          </w:tcPr>
          <w:p w14:paraId="094146DD">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软式面包</w:t>
            </w:r>
          </w:p>
        </w:tc>
        <w:tc>
          <w:tcPr>
            <w:tcW w:w="2948" w:type="dxa"/>
          </w:tcPr>
          <w:p w14:paraId="67AE2818">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1.每盒/袋净含量：70g~110g；</w:t>
            </w:r>
          </w:p>
          <w:p w14:paraId="5DABA3D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2.产品完整，饱满，具有产品应有的形态、色泽，细腻，有弹性，气孔较均匀；具有发酵和熟制后的面包香味，松软适口，无异味；正常视力范围内无可见的外来异物；</w:t>
            </w:r>
          </w:p>
          <w:p w14:paraId="4D888B2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20981-2021《面包质量通则》标准规定。</w:t>
            </w:r>
          </w:p>
        </w:tc>
        <w:tc>
          <w:tcPr>
            <w:tcW w:w="1530" w:type="dxa"/>
            <w:tcMar>
              <w:top w:w="0" w:type="dxa"/>
              <w:left w:w="105" w:type="dxa"/>
              <w:bottom w:w="0" w:type="dxa"/>
              <w:right w:w="105" w:type="dxa"/>
            </w:tcMar>
            <w:vAlign w:val="center"/>
          </w:tcPr>
          <w:p w14:paraId="27851599">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3.60</w:t>
            </w:r>
          </w:p>
        </w:tc>
        <w:tc>
          <w:tcPr>
            <w:tcW w:w="1335" w:type="dxa"/>
            <w:tcMar>
              <w:top w:w="0" w:type="dxa"/>
              <w:left w:w="105" w:type="dxa"/>
              <w:bottom w:w="0" w:type="dxa"/>
              <w:right w:w="105" w:type="dxa"/>
            </w:tcMar>
            <w:vAlign w:val="center"/>
          </w:tcPr>
          <w:p w14:paraId="3B0C3E86">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盒（袋）</w:t>
            </w:r>
          </w:p>
        </w:tc>
      </w:tr>
      <w:tr w14:paraId="14C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951" w:type="dxa"/>
            <w:tcMar>
              <w:top w:w="0" w:type="dxa"/>
              <w:left w:w="105" w:type="dxa"/>
              <w:bottom w:w="0" w:type="dxa"/>
              <w:right w:w="105" w:type="dxa"/>
            </w:tcMar>
            <w:vAlign w:val="center"/>
          </w:tcPr>
          <w:p w14:paraId="7B30CBC4">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327" w:type="dxa"/>
            <w:tcMar>
              <w:top w:w="0" w:type="dxa"/>
              <w:left w:w="105" w:type="dxa"/>
              <w:bottom w:w="0" w:type="dxa"/>
              <w:right w:w="105" w:type="dxa"/>
            </w:tcMar>
            <w:vAlign w:val="center"/>
          </w:tcPr>
          <w:p w14:paraId="21D5B0FC">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曲奇饼干</w:t>
            </w:r>
          </w:p>
        </w:tc>
        <w:tc>
          <w:tcPr>
            <w:tcW w:w="2948" w:type="dxa"/>
          </w:tcPr>
          <w:p w14:paraId="3677663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1.每盒/袋净含量：80g~90g，多种口味（两种及以上），开袋即食；</w:t>
            </w:r>
          </w:p>
          <w:p w14:paraId="53A6E2E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外形完整，花纹（或波纹）同一造型大小基本均匀，饼体摊散适度，五连边，产品断面结构呈细密的多孔状，无较大孔洞；具有产品应有的色泽及香味，产品无异味，口感酥松或松脆，无霉变，无生虫；无正常视力可见的外来异物；</w:t>
            </w:r>
          </w:p>
          <w:p w14:paraId="1413410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20980-2021《饼干质量通则》标准规定。</w:t>
            </w:r>
          </w:p>
        </w:tc>
        <w:tc>
          <w:tcPr>
            <w:tcW w:w="1530" w:type="dxa"/>
            <w:tcMar>
              <w:top w:w="0" w:type="dxa"/>
              <w:left w:w="105" w:type="dxa"/>
              <w:bottom w:w="0" w:type="dxa"/>
              <w:right w:w="105" w:type="dxa"/>
            </w:tcMar>
            <w:vAlign w:val="center"/>
          </w:tcPr>
          <w:p w14:paraId="27F78A65">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6.40</w:t>
            </w:r>
          </w:p>
        </w:tc>
        <w:tc>
          <w:tcPr>
            <w:tcW w:w="1335" w:type="dxa"/>
            <w:tcMar>
              <w:top w:w="0" w:type="dxa"/>
              <w:left w:w="105" w:type="dxa"/>
              <w:bottom w:w="0" w:type="dxa"/>
              <w:right w:w="105" w:type="dxa"/>
            </w:tcMar>
            <w:vAlign w:val="center"/>
          </w:tcPr>
          <w:p w14:paraId="39C72AF2">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盒（袋）</w:t>
            </w:r>
          </w:p>
        </w:tc>
      </w:tr>
      <w:tr w14:paraId="0298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951" w:type="dxa"/>
            <w:tcMar>
              <w:top w:w="0" w:type="dxa"/>
              <w:left w:w="105" w:type="dxa"/>
              <w:bottom w:w="0" w:type="dxa"/>
              <w:right w:w="105" w:type="dxa"/>
            </w:tcMar>
            <w:vAlign w:val="center"/>
          </w:tcPr>
          <w:p w14:paraId="0B0FC15B">
            <w:pPr>
              <w:pStyle w:val="172"/>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p>
        </w:tc>
        <w:tc>
          <w:tcPr>
            <w:tcW w:w="1327" w:type="dxa"/>
            <w:tcMar>
              <w:top w:w="0" w:type="dxa"/>
              <w:left w:w="105" w:type="dxa"/>
              <w:bottom w:w="0" w:type="dxa"/>
              <w:right w:w="105" w:type="dxa"/>
            </w:tcMar>
            <w:vAlign w:val="center"/>
          </w:tcPr>
          <w:p w14:paraId="0E6DDA91">
            <w:pPr>
              <w:pStyle w:val="172"/>
              <w:jc w:val="center"/>
              <w:rPr>
                <w:rFonts w:hint="eastAsia" w:ascii="宋体" w:hAnsi="宋体" w:eastAsia="宋体" w:cs="宋体"/>
                <w:color w:val="auto"/>
                <w:sz w:val="21"/>
                <w:szCs w:val="21"/>
              </w:rPr>
            </w:pPr>
            <w:r>
              <w:rPr>
                <w:rFonts w:hint="eastAsia" w:ascii="宋体" w:hAnsi="宋体" w:eastAsia="宋体" w:cs="宋体"/>
                <w:b/>
                <w:color w:val="auto"/>
                <w:sz w:val="21"/>
                <w:szCs w:val="21"/>
              </w:rPr>
              <w:t>薯片</w:t>
            </w:r>
          </w:p>
        </w:tc>
        <w:tc>
          <w:tcPr>
            <w:tcW w:w="2948" w:type="dxa"/>
          </w:tcPr>
          <w:p w14:paraId="7DD3B72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1.每盒/袋净含量：20g~40g，多种口味（两种及以上），开袋即食；</w:t>
            </w:r>
          </w:p>
          <w:p w14:paraId="3514E51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2.形状基本完整，允许有部分碎片，碎条或碎块。具有产品应有的色泽；</w:t>
            </w:r>
          </w:p>
          <w:p w14:paraId="6E325BA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3.具有马铃薯经过加工后应有的滋味，无焦苦味、哈喇味或其他异味。具有产品特有的疏松或松脆的口感；色泽正常，滋味正常，无正常视力可见的外来异物；</w:t>
            </w:r>
          </w:p>
          <w:p w14:paraId="0A502A3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4.满足GB 17401-2014《食品安全国家标准 膨化食品》标准规定。</w:t>
            </w:r>
          </w:p>
        </w:tc>
        <w:tc>
          <w:tcPr>
            <w:tcW w:w="1530" w:type="dxa"/>
            <w:tcMar>
              <w:top w:w="0" w:type="dxa"/>
              <w:left w:w="105" w:type="dxa"/>
              <w:bottom w:w="0" w:type="dxa"/>
              <w:right w:w="105" w:type="dxa"/>
            </w:tcMar>
            <w:vAlign w:val="center"/>
          </w:tcPr>
          <w:p w14:paraId="591E1103">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2.50</w:t>
            </w:r>
          </w:p>
        </w:tc>
        <w:tc>
          <w:tcPr>
            <w:tcW w:w="1335" w:type="dxa"/>
            <w:tcMar>
              <w:top w:w="0" w:type="dxa"/>
              <w:left w:w="105" w:type="dxa"/>
              <w:bottom w:w="0" w:type="dxa"/>
              <w:right w:w="105" w:type="dxa"/>
            </w:tcMar>
            <w:vAlign w:val="center"/>
          </w:tcPr>
          <w:p w14:paraId="46C7F0D1">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盒（袋）</w:t>
            </w:r>
          </w:p>
        </w:tc>
      </w:tr>
      <w:tr w14:paraId="1F0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441B26E0">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327" w:type="dxa"/>
            <w:shd w:val="clear" w:color="auto" w:fill="auto"/>
            <w:tcMar>
              <w:top w:w="0" w:type="dxa"/>
              <w:left w:w="105" w:type="dxa"/>
              <w:bottom w:w="0" w:type="dxa"/>
              <w:right w:w="105" w:type="dxa"/>
            </w:tcMar>
            <w:vAlign w:val="center"/>
          </w:tcPr>
          <w:p w14:paraId="6FC8A3EA">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干拌面</w:t>
            </w:r>
          </w:p>
        </w:tc>
        <w:tc>
          <w:tcPr>
            <w:tcW w:w="2948" w:type="dxa"/>
          </w:tcPr>
          <w:p w14:paraId="1D5BC6B5">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净含量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75461C7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37DCE22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59060BD6">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5.10</w:t>
            </w:r>
          </w:p>
        </w:tc>
        <w:tc>
          <w:tcPr>
            <w:tcW w:w="1335" w:type="dxa"/>
            <w:tcMar>
              <w:top w:w="0" w:type="dxa"/>
              <w:left w:w="105" w:type="dxa"/>
              <w:bottom w:w="0" w:type="dxa"/>
              <w:right w:w="105" w:type="dxa"/>
            </w:tcMar>
            <w:vAlign w:val="center"/>
          </w:tcPr>
          <w:p w14:paraId="5DA9D28C">
            <w:pPr>
              <w:pStyle w:val="172"/>
              <w:jc w:val="center"/>
              <w:rPr>
                <w:rFonts w:hint="eastAsia" w:ascii="宋体" w:hAnsi="宋体" w:eastAsia="宋体" w:cs="宋体"/>
                <w:color w:val="auto"/>
                <w:sz w:val="21"/>
                <w:szCs w:val="21"/>
              </w:rPr>
            </w:pPr>
            <w:r>
              <w:rPr>
                <w:rFonts w:hint="eastAsia" w:ascii="宋体" w:hAnsi="宋体" w:eastAsia="宋体" w:cs="宋体"/>
                <w:color w:val="auto"/>
                <w:sz w:val="21"/>
                <w:szCs w:val="21"/>
              </w:rPr>
              <w:t>盒</w:t>
            </w:r>
          </w:p>
        </w:tc>
      </w:tr>
      <w:tr w14:paraId="56D0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555299D1">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327" w:type="dxa"/>
            <w:shd w:val="clear" w:color="auto" w:fill="auto"/>
            <w:tcMar>
              <w:top w:w="0" w:type="dxa"/>
              <w:left w:w="105" w:type="dxa"/>
              <w:bottom w:w="0" w:type="dxa"/>
              <w:right w:w="105" w:type="dxa"/>
            </w:tcMar>
            <w:vAlign w:val="center"/>
          </w:tcPr>
          <w:p w14:paraId="35FED6F6">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开心桶</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面</w:t>
            </w:r>
            <w:r>
              <w:rPr>
                <w:rFonts w:hint="eastAsia" w:ascii="宋体" w:hAnsi="宋体" w:eastAsia="宋体" w:cs="宋体"/>
                <w:color w:val="auto"/>
                <w:sz w:val="22"/>
                <w:lang w:eastAsia="zh-CN"/>
              </w:rPr>
              <w:t>）</w:t>
            </w:r>
          </w:p>
        </w:tc>
        <w:tc>
          <w:tcPr>
            <w:tcW w:w="2948" w:type="dxa"/>
          </w:tcPr>
          <w:p w14:paraId="28CBA90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净含量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5B06B8F5">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314CC057">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65AD94F6">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3.50</w:t>
            </w:r>
          </w:p>
        </w:tc>
        <w:tc>
          <w:tcPr>
            <w:tcW w:w="1335" w:type="dxa"/>
            <w:tcMar>
              <w:top w:w="0" w:type="dxa"/>
              <w:left w:w="105" w:type="dxa"/>
              <w:bottom w:w="0" w:type="dxa"/>
              <w:right w:w="105" w:type="dxa"/>
            </w:tcMar>
            <w:vAlign w:val="center"/>
          </w:tcPr>
          <w:p w14:paraId="3B58119C">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桶</w:t>
            </w:r>
          </w:p>
        </w:tc>
      </w:tr>
      <w:tr w14:paraId="196D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1CF4F3C3">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327" w:type="dxa"/>
            <w:shd w:val="clear" w:color="auto" w:fill="auto"/>
            <w:tcMar>
              <w:top w:w="0" w:type="dxa"/>
              <w:left w:w="105" w:type="dxa"/>
              <w:bottom w:w="0" w:type="dxa"/>
              <w:right w:w="105" w:type="dxa"/>
            </w:tcMar>
            <w:vAlign w:val="center"/>
          </w:tcPr>
          <w:p w14:paraId="14F20605">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经典袋</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面</w:t>
            </w:r>
            <w:r>
              <w:rPr>
                <w:rFonts w:hint="eastAsia" w:ascii="宋体" w:hAnsi="宋体" w:eastAsia="宋体" w:cs="宋体"/>
                <w:color w:val="auto"/>
                <w:sz w:val="22"/>
                <w:lang w:eastAsia="zh-CN"/>
              </w:rPr>
              <w:t>）</w:t>
            </w:r>
            <w:r>
              <w:rPr>
                <w:rFonts w:ascii="宋体" w:hAnsi="宋体" w:eastAsia="宋体" w:cs="宋体"/>
                <w:color w:val="auto"/>
                <w:sz w:val="22"/>
              </w:rPr>
              <w:t>85g</w:t>
            </w:r>
          </w:p>
        </w:tc>
        <w:tc>
          <w:tcPr>
            <w:tcW w:w="2948" w:type="dxa"/>
          </w:tcPr>
          <w:p w14:paraId="7CED8206">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净含量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54901C7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0330C27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3999C2E9">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2.30</w:t>
            </w:r>
          </w:p>
        </w:tc>
        <w:tc>
          <w:tcPr>
            <w:tcW w:w="1335" w:type="dxa"/>
            <w:tcMar>
              <w:top w:w="0" w:type="dxa"/>
              <w:left w:w="105" w:type="dxa"/>
              <w:bottom w:w="0" w:type="dxa"/>
              <w:right w:w="105" w:type="dxa"/>
            </w:tcMar>
            <w:vAlign w:val="center"/>
          </w:tcPr>
          <w:p w14:paraId="7D836D9A">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袋</w:t>
            </w:r>
          </w:p>
        </w:tc>
      </w:tr>
      <w:tr w14:paraId="3F8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5CF2D3D4">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327" w:type="dxa"/>
            <w:shd w:val="clear" w:color="auto" w:fill="auto"/>
            <w:tcMar>
              <w:top w:w="0" w:type="dxa"/>
              <w:left w:w="105" w:type="dxa"/>
              <w:bottom w:w="0" w:type="dxa"/>
              <w:right w:w="105" w:type="dxa"/>
            </w:tcMar>
            <w:vAlign w:val="center"/>
          </w:tcPr>
          <w:p w14:paraId="750188F9">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大食桶</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面</w:t>
            </w:r>
            <w:r>
              <w:rPr>
                <w:rFonts w:hint="eastAsia" w:ascii="宋体" w:hAnsi="宋体" w:eastAsia="宋体" w:cs="宋体"/>
                <w:color w:val="auto"/>
                <w:sz w:val="22"/>
                <w:lang w:eastAsia="zh-CN"/>
              </w:rPr>
              <w:t>）</w:t>
            </w:r>
          </w:p>
        </w:tc>
        <w:tc>
          <w:tcPr>
            <w:tcW w:w="2948" w:type="dxa"/>
          </w:tcPr>
          <w:p w14:paraId="0824B967">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净含量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150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5C333DA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5A92D2AE">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44777109">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4.50</w:t>
            </w:r>
          </w:p>
        </w:tc>
        <w:tc>
          <w:tcPr>
            <w:tcW w:w="1335" w:type="dxa"/>
            <w:tcMar>
              <w:top w:w="0" w:type="dxa"/>
              <w:left w:w="105" w:type="dxa"/>
              <w:bottom w:w="0" w:type="dxa"/>
              <w:right w:w="105" w:type="dxa"/>
            </w:tcMar>
            <w:vAlign w:val="center"/>
          </w:tcPr>
          <w:p w14:paraId="34BED58E">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桶</w:t>
            </w:r>
          </w:p>
        </w:tc>
      </w:tr>
      <w:tr w14:paraId="0B76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02E3F733">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1327" w:type="dxa"/>
            <w:shd w:val="clear" w:color="auto" w:fill="auto"/>
            <w:tcMar>
              <w:top w:w="0" w:type="dxa"/>
              <w:left w:w="105" w:type="dxa"/>
              <w:bottom w:w="0" w:type="dxa"/>
              <w:right w:w="105" w:type="dxa"/>
            </w:tcMar>
            <w:vAlign w:val="center"/>
          </w:tcPr>
          <w:p w14:paraId="7BF6BBC1">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汤大师杯</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面</w:t>
            </w:r>
            <w:r>
              <w:rPr>
                <w:rFonts w:hint="eastAsia" w:ascii="宋体" w:hAnsi="宋体" w:eastAsia="宋体" w:cs="宋体"/>
                <w:color w:val="auto"/>
                <w:sz w:val="22"/>
                <w:lang w:eastAsia="zh-CN"/>
              </w:rPr>
              <w:t>）</w:t>
            </w:r>
          </w:p>
        </w:tc>
        <w:tc>
          <w:tcPr>
            <w:tcW w:w="2948" w:type="dxa"/>
          </w:tcPr>
          <w:p w14:paraId="23E3219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7BD1D87F">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017007C7">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6F0A8AEB">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4.50</w:t>
            </w:r>
          </w:p>
        </w:tc>
        <w:tc>
          <w:tcPr>
            <w:tcW w:w="1335" w:type="dxa"/>
            <w:tcMar>
              <w:top w:w="0" w:type="dxa"/>
              <w:left w:w="105" w:type="dxa"/>
              <w:bottom w:w="0" w:type="dxa"/>
              <w:right w:w="105" w:type="dxa"/>
            </w:tcMar>
            <w:vAlign w:val="center"/>
          </w:tcPr>
          <w:p w14:paraId="6083C9EA">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杯</w:t>
            </w:r>
          </w:p>
        </w:tc>
      </w:tr>
      <w:tr w14:paraId="1995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550973D5">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327" w:type="dxa"/>
            <w:shd w:val="clear" w:color="auto" w:fill="auto"/>
            <w:tcMar>
              <w:top w:w="0" w:type="dxa"/>
              <w:left w:w="105" w:type="dxa"/>
              <w:bottom w:w="0" w:type="dxa"/>
              <w:right w:w="105" w:type="dxa"/>
            </w:tcMar>
            <w:vAlign w:val="center"/>
          </w:tcPr>
          <w:p w14:paraId="6CA99806">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汤大师袋</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面</w:t>
            </w:r>
            <w:r>
              <w:rPr>
                <w:rFonts w:hint="eastAsia" w:ascii="宋体" w:hAnsi="宋体" w:eastAsia="宋体" w:cs="宋体"/>
                <w:color w:val="auto"/>
                <w:sz w:val="22"/>
                <w:lang w:eastAsia="zh-CN"/>
              </w:rPr>
              <w:t>）</w:t>
            </w:r>
          </w:p>
        </w:tc>
        <w:tc>
          <w:tcPr>
            <w:tcW w:w="2948" w:type="dxa"/>
          </w:tcPr>
          <w:p w14:paraId="49576DCD">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774A416A">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27B77CBB">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3989A58D">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3.30</w:t>
            </w:r>
          </w:p>
        </w:tc>
        <w:tc>
          <w:tcPr>
            <w:tcW w:w="1335" w:type="dxa"/>
            <w:tcMar>
              <w:top w:w="0" w:type="dxa"/>
              <w:left w:w="105" w:type="dxa"/>
              <w:bottom w:w="0" w:type="dxa"/>
              <w:right w:w="105" w:type="dxa"/>
            </w:tcMar>
            <w:vAlign w:val="center"/>
          </w:tcPr>
          <w:p w14:paraId="676F663A">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袋</w:t>
            </w:r>
          </w:p>
        </w:tc>
      </w:tr>
      <w:tr w14:paraId="532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76FEBF9F">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327" w:type="dxa"/>
            <w:shd w:val="clear" w:color="auto" w:fill="auto"/>
            <w:tcMar>
              <w:top w:w="0" w:type="dxa"/>
              <w:left w:w="105" w:type="dxa"/>
              <w:bottom w:w="0" w:type="dxa"/>
              <w:right w:w="105" w:type="dxa"/>
            </w:tcMar>
            <w:vAlign w:val="center"/>
          </w:tcPr>
          <w:p w14:paraId="73E55AF7">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一倍半桶面</w:t>
            </w:r>
          </w:p>
        </w:tc>
        <w:tc>
          <w:tcPr>
            <w:tcW w:w="2948" w:type="dxa"/>
          </w:tcPr>
          <w:p w14:paraId="34EFA109">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0B27F1F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28D63516">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00B37382">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3.50</w:t>
            </w:r>
          </w:p>
        </w:tc>
        <w:tc>
          <w:tcPr>
            <w:tcW w:w="1335" w:type="dxa"/>
            <w:tcMar>
              <w:top w:w="0" w:type="dxa"/>
              <w:left w:w="105" w:type="dxa"/>
              <w:bottom w:w="0" w:type="dxa"/>
              <w:right w:w="105" w:type="dxa"/>
            </w:tcMar>
            <w:vAlign w:val="center"/>
          </w:tcPr>
          <w:p w14:paraId="01EB372B">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桶</w:t>
            </w:r>
          </w:p>
        </w:tc>
      </w:tr>
      <w:tr w14:paraId="4A12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7033110B">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327" w:type="dxa"/>
            <w:shd w:val="clear" w:color="auto" w:fill="auto"/>
            <w:tcMar>
              <w:top w:w="0" w:type="dxa"/>
              <w:left w:w="105" w:type="dxa"/>
              <w:bottom w:w="0" w:type="dxa"/>
              <w:right w:w="105" w:type="dxa"/>
            </w:tcMar>
            <w:vAlign w:val="center"/>
          </w:tcPr>
          <w:p w14:paraId="5E2D2948">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一倍半袋面</w:t>
            </w:r>
          </w:p>
        </w:tc>
        <w:tc>
          <w:tcPr>
            <w:tcW w:w="2948" w:type="dxa"/>
          </w:tcPr>
          <w:p w14:paraId="192FCD00">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115</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135</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087B4FEA">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3088B613">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0AB65CE5">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w:t>
            </w:r>
          </w:p>
        </w:tc>
        <w:tc>
          <w:tcPr>
            <w:tcW w:w="1335" w:type="dxa"/>
            <w:tcMar>
              <w:top w:w="0" w:type="dxa"/>
              <w:left w:w="105" w:type="dxa"/>
              <w:bottom w:w="0" w:type="dxa"/>
              <w:right w:w="105" w:type="dxa"/>
            </w:tcMar>
            <w:vAlign w:val="center"/>
          </w:tcPr>
          <w:p w14:paraId="2DECF92E">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袋</w:t>
            </w:r>
          </w:p>
        </w:tc>
      </w:tr>
      <w:tr w14:paraId="0A23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323FDFDE">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1327" w:type="dxa"/>
            <w:shd w:val="clear" w:color="auto" w:fill="auto"/>
            <w:tcMar>
              <w:top w:w="0" w:type="dxa"/>
              <w:left w:w="105" w:type="dxa"/>
              <w:bottom w:w="0" w:type="dxa"/>
              <w:right w:w="105" w:type="dxa"/>
            </w:tcMar>
            <w:vAlign w:val="center"/>
          </w:tcPr>
          <w:p w14:paraId="51CC69E7">
            <w:pPr>
              <w:pStyle w:val="172"/>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高汤桶面</w:t>
            </w:r>
          </w:p>
        </w:tc>
        <w:tc>
          <w:tcPr>
            <w:tcW w:w="2948" w:type="dxa"/>
          </w:tcPr>
          <w:p w14:paraId="3450C931">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g~</w:t>
            </w: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rPr>
              <w:t>g，多种口味（两种及以上），开袋即食</w:t>
            </w:r>
            <w:r>
              <w:rPr>
                <w:rFonts w:hint="eastAsia" w:ascii="宋体" w:hAnsi="宋体" w:eastAsia="宋体" w:cs="宋体"/>
                <w:color w:val="auto"/>
                <w:sz w:val="21"/>
                <w:szCs w:val="21"/>
                <w:lang w:val="en-US" w:eastAsia="zh-CN"/>
              </w:rPr>
              <w:t>或开水冲泡</w:t>
            </w:r>
            <w:r>
              <w:rPr>
                <w:rFonts w:hint="eastAsia" w:ascii="宋体" w:hAnsi="宋体" w:eastAsia="宋体" w:cs="宋体"/>
                <w:color w:val="auto"/>
                <w:sz w:val="21"/>
                <w:szCs w:val="21"/>
              </w:rPr>
              <w:t>；</w:t>
            </w:r>
          </w:p>
          <w:p w14:paraId="7D8785CC">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2.形状完整，花纹清晰，色泽均匀，呈乳白色或淡黄色，没有焦糊或生面的现象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质地紧实，表面光滑，没有奇怪的凸起或坑洼；具有产品应有的正常色泽，符合产品所调制的香味，无异味，无霉变，无生虫；无正常视力可见的外来异物；</w:t>
            </w:r>
          </w:p>
          <w:p w14:paraId="2483BEA6">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 17400-2015《食品安全国家标准</w:t>
            </w:r>
            <w:r>
              <w:rPr>
                <w:rFonts w:hint="eastAsia" w:ascii="宋体" w:hAnsi="宋体" w:eastAsia="宋体" w:cs="宋体"/>
                <w:color w:val="auto"/>
                <w:sz w:val="21"/>
                <w:szCs w:val="21"/>
                <w:lang w:val="en-US" w:eastAsia="zh-CN"/>
              </w:rPr>
              <w:t>方便面</w:t>
            </w:r>
            <w:r>
              <w:rPr>
                <w:rFonts w:hint="eastAsia" w:ascii="宋体" w:hAnsi="宋体" w:eastAsia="宋体" w:cs="宋体"/>
                <w:color w:val="auto"/>
                <w:sz w:val="21"/>
                <w:szCs w:val="21"/>
              </w:rPr>
              <w:t>》标准规定。</w:t>
            </w:r>
          </w:p>
        </w:tc>
        <w:tc>
          <w:tcPr>
            <w:tcW w:w="1530" w:type="dxa"/>
            <w:tcMar>
              <w:top w:w="0" w:type="dxa"/>
              <w:left w:w="105" w:type="dxa"/>
              <w:bottom w:w="0" w:type="dxa"/>
              <w:right w:w="105" w:type="dxa"/>
            </w:tcMar>
            <w:vAlign w:val="center"/>
          </w:tcPr>
          <w:p w14:paraId="0D3E9DBF">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4.65</w:t>
            </w:r>
          </w:p>
        </w:tc>
        <w:tc>
          <w:tcPr>
            <w:tcW w:w="1335" w:type="dxa"/>
            <w:tcMar>
              <w:top w:w="0" w:type="dxa"/>
              <w:left w:w="105" w:type="dxa"/>
              <w:bottom w:w="0" w:type="dxa"/>
              <w:right w:w="105" w:type="dxa"/>
            </w:tcMar>
            <w:vAlign w:val="center"/>
          </w:tcPr>
          <w:p w14:paraId="128A873B">
            <w:pPr>
              <w:pStyle w:val="17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桶</w:t>
            </w:r>
          </w:p>
        </w:tc>
      </w:tr>
      <w:tr w14:paraId="0D5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29238BA1">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327" w:type="dxa"/>
            <w:shd w:val="clear" w:color="auto" w:fill="auto"/>
            <w:tcMar>
              <w:top w:w="0" w:type="dxa"/>
              <w:left w:w="105" w:type="dxa"/>
              <w:bottom w:w="0" w:type="dxa"/>
              <w:right w:w="105" w:type="dxa"/>
            </w:tcMar>
            <w:vAlign w:val="center"/>
          </w:tcPr>
          <w:p w14:paraId="6D4D70D8">
            <w:pPr>
              <w:pStyle w:val="172"/>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面巾抽纸</w:t>
            </w:r>
          </w:p>
        </w:tc>
        <w:tc>
          <w:tcPr>
            <w:tcW w:w="2948" w:type="dxa"/>
          </w:tcPr>
          <w:p w14:paraId="191E9875">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1.净含量：</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120抽（3层），100%原生木浆</w:t>
            </w:r>
            <w:r>
              <w:rPr>
                <w:rFonts w:hint="eastAsia" w:ascii="宋体" w:hAnsi="宋体" w:eastAsia="宋体" w:cs="宋体"/>
                <w:color w:val="auto"/>
                <w:sz w:val="21"/>
                <w:szCs w:val="21"/>
              </w:rPr>
              <w:t>；</w:t>
            </w:r>
          </w:p>
          <w:p w14:paraId="2D0E1D52">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包装完好</w:t>
            </w:r>
            <w:r>
              <w:rPr>
                <w:rFonts w:hint="eastAsia" w:ascii="宋体" w:hAnsi="宋体" w:eastAsia="宋体" w:cs="宋体"/>
                <w:color w:val="auto"/>
                <w:sz w:val="21"/>
                <w:szCs w:val="21"/>
              </w:rPr>
              <w:t>，无异味，无霉变，无生虫；无正常视力可见的外来异物；</w:t>
            </w:r>
          </w:p>
          <w:p w14:paraId="335CD195">
            <w:pPr>
              <w:pStyle w:val="172"/>
              <w:jc w:val="left"/>
              <w:rPr>
                <w:rFonts w:hint="eastAsia" w:ascii="宋体" w:hAnsi="宋体" w:eastAsia="宋体" w:cs="宋体"/>
                <w:color w:val="auto"/>
                <w:sz w:val="21"/>
                <w:szCs w:val="21"/>
              </w:rPr>
            </w:pPr>
            <w:r>
              <w:rPr>
                <w:rFonts w:hint="eastAsia" w:ascii="宋体" w:hAnsi="宋体" w:eastAsia="宋体" w:cs="宋体"/>
                <w:color w:val="auto"/>
                <w:sz w:val="21"/>
                <w:szCs w:val="21"/>
              </w:rPr>
              <w:t>3.满足GB/T 20808-2011《纸巾纸》标准规定。</w:t>
            </w:r>
          </w:p>
        </w:tc>
        <w:tc>
          <w:tcPr>
            <w:tcW w:w="1530" w:type="dxa"/>
            <w:tcMar>
              <w:top w:w="0" w:type="dxa"/>
              <w:left w:w="105" w:type="dxa"/>
              <w:bottom w:w="0" w:type="dxa"/>
              <w:right w:w="105" w:type="dxa"/>
            </w:tcMar>
            <w:vAlign w:val="center"/>
          </w:tcPr>
          <w:p w14:paraId="682B00E0">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8.15</w:t>
            </w:r>
          </w:p>
        </w:tc>
        <w:tc>
          <w:tcPr>
            <w:tcW w:w="1335" w:type="dxa"/>
            <w:tcMar>
              <w:top w:w="0" w:type="dxa"/>
              <w:left w:w="105" w:type="dxa"/>
              <w:bottom w:w="0" w:type="dxa"/>
              <w:right w:w="105" w:type="dxa"/>
            </w:tcMar>
            <w:vAlign w:val="center"/>
          </w:tcPr>
          <w:p w14:paraId="3816BE7A">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w:t>
            </w:r>
          </w:p>
        </w:tc>
      </w:tr>
      <w:tr w14:paraId="5F4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1" w:type="dxa"/>
            <w:tcMar>
              <w:top w:w="0" w:type="dxa"/>
              <w:left w:w="105" w:type="dxa"/>
              <w:bottom w:w="0" w:type="dxa"/>
              <w:right w:w="105" w:type="dxa"/>
            </w:tcMar>
            <w:vAlign w:val="center"/>
          </w:tcPr>
          <w:p w14:paraId="2C58EA34">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1327" w:type="dxa"/>
            <w:shd w:val="clear" w:color="auto" w:fill="auto"/>
            <w:tcMar>
              <w:top w:w="0" w:type="dxa"/>
              <w:left w:w="105" w:type="dxa"/>
              <w:bottom w:w="0" w:type="dxa"/>
              <w:right w:w="105" w:type="dxa"/>
            </w:tcMar>
            <w:vAlign w:val="center"/>
          </w:tcPr>
          <w:p w14:paraId="3EBFA22B">
            <w:pPr>
              <w:pStyle w:val="172"/>
              <w:jc w:val="center"/>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卫生巾（日用）</w:t>
            </w:r>
          </w:p>
        </w:tc>
        <w:tc>
          <w:tcPr>
            <w:tcW w:w="2948" w:type="dxa"/>
          </w:tcPr>
          <w:p w14:paraId="225C8B06">
            <w:pPr>
              <w:pStyle w:val="17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1、净含量：10片；</w:t>
            </w:r>
          </w:p>
          <w:p w14:paraId="61C32EA7">
            <w:pPr>
              <w:pStyle w:val="172"/>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2、包装完好</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柔棉感，长度≥240MM；</w:t>
            </w:r>
            <w:r>
              <w:rPr>
                <w:rFonts w:hint="eastAsia" w:ascii="宋体" w:hAnsi="宋体" w:eastAsia="宋体" w:cs="宋体"/>
                <w:color w:val="auto"/>
                <w:sz w:val="21"/>
                <w:szCs w:val="21"/>
              </w:rPr>
              <w:t>，无异味，无霉变，无生虫；无正常视力可见的外来异物</w:t>
            </w:r>
            <w:r>
              <w:rPr>
                <w:rFonts w:hint="eastAsia" w:ascii="宋体" w:hAnsi="宋体" w:eastAsia="宋体" w:cs="宋体"/>
                <w:color w:val="auto"/>
                <w:sz w:val="21"/>
                <w:szCs w:val="21"/>
                <w:lang w:eastAsia="zh-CN"/>
              </w:rPr>
              <w:t>；</w:t>
            </w:r>
          </w:p>
          <w:p w14:paraId="0A17ED53">
            <w:pPr>
              <w:pStyle w:val="172"/>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满足GB/T 8939-2018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卫生巾（护垫）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标准规定</w:t>
            </w:r>
          </w:p>
        </w:tc>
        <w:tc>
          <w:tcPr>
            <w:tcW w:w="1530" w:type="dxa"/>
            <w:tcMar>
              <w:top w:w="0" w:type="dxa"/>
              <w:left w:w="105" w:type="dxa"/>
              <w:bottom w:w="0" w:type="dxa"/>
              <w:right w:w="105" w:type="dxa"/>
            </w:tcMar>
            <w:vAlign w:val="center"/>
          </w:tcPr>
          <w:p w14:paraId="2E6A54FE">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8.35</w:t>
            </w:r>
          </w:p>
        </w:tc>
        <w:tc>
          <w:tcPr>
            <w:tcW w:w="1335" w:type="dxa"/>
            <w:tcMar>
              <w:top w:w="0" w:type="dxa"/>
              <w:left w:w="105" w:type="dxa"/>
              <w:bottom w:w="0" w:type="dxa"/>
              <w:right w:w="105" w:type="dxa"/>
            </w:tcMar>
            <w:vAlign w:val="center"/>
          </w:tcPr>
          <w:p w14:paraId="24647745">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w:t>
            </w:r>
          </w:p>
        </w:tc>
      </w:tr>
      <w:tr w14:paraId="6A9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1" w:type="dxa"/>
            <w:tcMar>
              <w:top w:w="0" w:type="dxa"/>
              <w:left w:w="105" w:type="dxa"/>
              <w:bottom w:w="0" w:type="dxa"/>
              <w:right w:w="105" w:type="dxa"/>
            </w:tcMar>
            <w:vAlign w:val="center"/>
          </w:tcPr>
          <w:p w14:paraId="43B7961F">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327" w:type="dxa"/>
            <w:shd w:val="clear" w:color="auto" w:fill="auto"/>
            <w:tcMar>
              <w:top w:w="0" w:type="dxa"/>
              <w:left w:w="105" w:type="dxa"/>
              <w:bottom w:w="0" w:type="dxa"/>
              <w:right w:w="105" w:type="dxa"/>
            </w:tcMar>
            <w:vAlign w:val="center"/>
          </w:tcPr>
          <w:p w14:paraId="5734D390">
            <w:pPr>
              <w:pStyle w:val="172"/>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卫生巾（夜用）</w:t>
            </w:r>
          </w:p>
        </w:tc>
        <w:tc>
          <w:tcPr>
            <w:tcW w:w="2948" w:type="dxa"/>
          </w:tcPr>
          <w:p w14:paraId="19DD99D9">
            <w:pPr>
              <w:pStyle w:val="17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1、净含量：10片；</w:t>
            </w:r>
          </w:p>
          <w:p w14:paraId="2814CB9F">
            <w:pPr>
              <w:pStyle w:val="172"/>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2、包装完好</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柔棉感，长度≥290MM；</w:t>
            </w:r>
            <w:r>
              <w:rPr>
                <w:rFonts w:hint="eastAsia" w:ascii="宋体" w:hAnsi="宋体" w:eastAsia="宋体" w:cs="宋体"/>
                <w:color w:val="auto"/>
                <w:sz w:val="21"/>
                <w:szCs w:val="21"/>
              </w:rPr>
              <w:t>，无异味，无霉变，无生虫；无正常视力可见的外来异物</w:t>
            </w:r>
            <w:r>
              <w:rPr>
                <w:rFonts w:hint="eastAsia" w:ascii="宋体" w:hAnsi="宋体" w:eastAsia="宋体" w:cs="宋体"/>
                <w:color w:val="auto"/>
                <w:sz w:val="21"/>
                <w:szCs w:val="21"/>
                <w:lang w:eastAsia="zh-CN"/>
              </w:rPr>
              <w:t>；</w:t>
            </w:r>
          </w:p>
          <w:p w14:paraId="7ADF23CF">
            <w:pPr>
              <w:pStyle w:val="172"/>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满足GB/T 8939-2018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卫生巾（护垫）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标准规定</w:t>
            </w:r>
          </w:p>
        </w:tc>
        <w:tc>
          <w:tcPr>
            <w:tcW w:w="1530" w:type="dxa"/>
            <w:tcMar>
              <w:top w:w="0" w:type="dxa"/>
              <w:left w:w="105" w:type="dxa"/>
              <w:bottom w:w="0" w:type="dxa"/>
              <w:right w:w="105" w:type="dxa"/>
            </w:tcMar>
            <w:vAlign w:val="center"/>
          </w:tcPr>
          <w:p w14:paraId="4D6E11A2">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8.55</w:t>
            </w:r>
          </w:p>
        </w:tc>
        <w:tc>
          <w:tcPr>
            <w:tcW w:w="1335" w:type="dxa"/>
            <w:tcMar>
              <w:top w:w="0" w:type="dxa"/>
              <w:left w:w="105" w:type="dxa"/>
              <w:bottom w:w="0" w:type="dxa"/>
              <w:right w:w="105" w:type="dxa"/>
            </w:tcMar>
            <w:vAlign w:val="center"/>
          </w:tcPr>
          <w:p w14:paraId="0C7826FA">
            <w:pPr>
              <w:pStyle w:val="172"/>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w:t>
            </w:r>
          </w:p>
        </w:tc>
      </w:tr>
    </w:tbl>
    <w:p w14:paraId="4514CE75">
      <w:pPr>
        <w:snapToGrid w:val="0"/>
        <w:rPr>
          <w:rFonts w:hint="eastAsia" w:ascii="仿宋" w:hAnsi="仿宋" w:eastAsia="仿宋" w:cs="仿宋"/>
          <w:b/>
          <w:bCs/>
          <w:color w:val="auto"/>
          <w:sz w:val="30"/>
          <w:szCs w:val="30"/>
          <w:lang w:val="en-US" w:eastAsia="zh-CN"/>
        </w:rPr>
      </w:pPr>
    </w:p>
    <w:p w14:paraId="6C302673">
      <w:pPr>
        <w:snapToGrid w:val="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三、服务要求</w:t>
      </w:r>
    </w:p>
    <w:p w14:paraId="026CCB7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（一）质量要求</w:t>
      </w:r>
    </w:p>
    <w:p w14:paraId="166920D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1.所有产品应符合国家及地方相关标准规定。</w:t>
      </w:r>
    </w:p>
    <w:p w14:paraId="6E520D46">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2.产品包装上均应有食品生产许可证编号。果汁型碳酸饮料应标明果汁含量；果汁茶饮料应在标签上标识果汁含量；奶茶饮料应在标签上标识蛋白质含量；茶浓缩应在标签上标明稀释倍数。</w:t>
      </w:r>
    </w:p>
    <w:p w14:paraId="33CEB71D">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（二）配送要求</w:t>
      </w:r>
    </w:p>
    <w:p w14:paraId="40617F59">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1.供应商在每次供货前提供产品进出货台账、检查周期表格、质检报告等资料。</w:t>
      </w:r>
    </w:p>
    <w:p w14:paraId="7401704E">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2.产品应在清洁、干燥、通风避光、无虫害、无鼠害的规范化仓库内贮存，产品贮存要符合食品安全相关法律法规和行业标准，确保产品安全。</w:t>
      </w:r>
    </w:p>
    <w:p w14:paraId="005D221F">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3.供应商应具有符合规定的配送专用车辆。送货车辆车厢应为专用封闭式，车辆内部结构应平整、便于清洁，不得与有毒、有异味、易挥发、易腐蚀的产品混装运输。车辆应做到每日清洗、消毒并做好消毒记录。</w:t>
      </w:r>
    </w:p>
    <w:p w14:paraId="5DB1FE2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4.饮料类封口部位不应长时间浸泡在水中，以防止造成污染。</w:t>
      </w:r>
    </w:p>
    <w:p w14:paraId="618CE81D">
      <w:pPr>
        <w:spacing w:line="360" w:lineRule="auto"/>
        <w:ind w:firstLine="600" w:firstLineChars="200"/>
        <w:outlineLvl w:val="2"/>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5.供应商需为配备满足项目需求的人员，包含1名项目负责人（专职与采购人对接）、1名送货人员、1名每日上货人员。</w:t>
      </w:r>
    </w:p>
    <w:p w14:paraId="2BFD45E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6.供应商必须自行提供配送和上货服务，不得将配送工作进行任何方式的转包或分包。（提供承诺函，格式自拟）</w:t>
      </w:r>
    </w:p>
    <w:p w14:paraId="40AC157A">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7.供应商对所供产品的食品安全负责，供应商应建立 24 小时监控体系，在所有的仓库安装24小时声像监控设备。所有产品必须进行入库登记备案，在出库前再次检查产品的有效期、包装等。（提供承诺函，格式自拟）</w:t>
      </w:r>
    </w:p>
    <w:p w14:paraId="73D87A71">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（三）其他要求</w:t>
      </w:r>
    </w:p>
    <w:p w14:paraId="711E1FB5">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1.饮料类每批货质保期有效期从验收之日起须在6个月（含）以上。保质期到期前三个月进行</w:t>
      </w:r>
      <w:r>
        <w:rPr>
          <w:rFonts w:hint="eastAsia" w:ascii="仿宋" w:hAnsi="仿宋" w:eastAsia="仿宋" w:cs="仿宋"/>
          <w:color w:val="auto"/>
          <w:sz w:val="30"/>
          <w:szCs w:val="30"/>
          <w:lang w:val="en-US" w:eastAsia="zh-CN"/>
        </w:rPr>
        <w:t>跟换</w:t>
      </w:r>
      <w:r>
        <w:rPr>
          <w:rFonts w:hint="default" w:ascii="仿宋" w:hAnsi="仿宋" w:eastAsia="仿宋" w:cs="仿宋"/>
          <w:color w:val="auto"/>
          <w:sz w:val="30"/>
          <w:szCs w:val="30"/>
          <w:lang w:val="en-US" w:eastAsia="zh-CN"/>
        </w:rPr>
        <w:t xml:space="preserve">处理。（提供承诺函，格式自拟） </w:t>
      </w:r>
    </w:p>
    <w:p w14:paraId="22735E4C">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 xml:space="preserve">2.货物验收后，在质量保证期内，供应商应对由于工艺、材料等缺陷所发生的任何不足负责，应提供货物的包换、包退服务，所需费用由供应商承担。 </w:t>
      </w:r>
    </w:p>
    <w:p w14:paraId="4DC6EF39">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3.质量保证期内产品出现质量问题，供货商应在接到采购人换货或退货通知后2日（含2日）内办理相应手续。</w:t>
      </w:r>
    </w:p>
    <w:p w14:paraId="752DC063">
      <w:p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、商务要求</w:t>
      </w:r>
    </w:p>
    <w:p w14:paraId="2A228E1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zh-CN"/>
        </w:rPr>
        <w:t>签订合同前，采购人将核实相关资料的真实性，如果与</w:t>
      </w:r>
      <w:r>
        <w:rPr>
          <w:rFonts w:hint="eastAsia" w:ascii="仿宋" w:hAnsi="仿宋" w:eastAsia="仿宋" w:cs="仿宋"/>
          <w:color w:val="auto"/>
          <w:sz w:val="30"/>
          <w:szCs w:val="30"/>
        </w:rPr>
        <w:t>响应文件</w:t>
      </w:r>
      <w:r>
        <w:rPr>
          <w:rFonts w:hint="eastAsia" w:ascii="仿宋" w:hAnsi="仿宋" w:eastAsia="仿宋" w:cs="仿宋"/>
          <w:color w:val="auto"/>
          <w:sz w:val="30"/>
          <w:szCs w:val="30"/>
          <w:lang w:val="zh-CN"/>
        </w:rPr>
        <w:t>不符，按虚假应标处理，取消</w:t>
      </w:r>
      <w:r>
        <w:rPr>
          <w:rFonts w:hint="eastAsia" w:ascii="仿宋" w:hAnsi="仿宋" w:eastAsia="仿宋" w:cs="仿宋"/>
          <w:color w:val="auto"/>
          <w:sz w:val="30"/>
          <w:szCs w:val="30"/>
        </w:rPr>
        <w:t>成交</w:t>
      </w:r>
      <w:r>
        <w:rPr>
          <w:rFonts w:hint="eastAsia" w:ascii="仿宋" w:hAnsi="仿宋" w:eastAsia="仿宋" w:cs="仿宋"/>
          <w:color w:val="auto"/>
          <w:sz w:val="30"/>
          <w:szCs w:val="30"/>
          <w:lang w:val="zh-CN"/>
        </w:rPr>
        <w:t>资格。</w:t>
      </w:r>
    </w:p>
    <w:p w14:paraId="72641E0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付款方式：</w:t>
      </w:r>
      <w:r>
        <w:rPr>
          <w:rFonts w:hint="eastAsia" w:ascii="仿宋" w:hAnsi="仿宋" w:eastAsia="仿宋" w:cs="仿宋"/>
          <w:color w:val="auto"/>
          <w:sz w:val="30"/>
          <w:szCs w:val="30"/>
          <w:lang w:val="en-US" w:eastAsia="zh-CN"/>
        </w:rPr>
        <w:t>按月支付</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第二月初</w:t>
      </w:r>
      <w:r>
        <w:rPr>
          <w:rFonts w:hint="eastAsia" w:ascii="仿宋" w:hAnsi="仿宋" w:eastAsia="仿宋" w:cs="仿宋"/>
          <w:color w:val="auto"/>
          <w:sz w:val="30"/>
          <w:szCs w:val="30"/>
        </w:rPr>
        <w:t>成交供应商向采购人出具合法有效完整的发票及凭证资料进行支付结算，按</w:t>
      </w:r>
      <w:r>
        <w:rPr>
          <w:rFonts w:hint="eastAsia" w:ascii="仿宋" w:hAnsi="仿宋" w:eastAsia="仿宋" w:cs="仿宋"/>
          <w:color w:val="auto"/>
          <w:sz w:val="30"/>
          <w:szCs w:val="30"/>
          <w:lang w:val="en-US" w:eastAsia="zh-CN"/>
        </w:rPr>
        <w:t>上月</w:t>
      </w:r>
      <w:r>
        <w:rPr>
          <w:rFonts w:hint="eastAsia" w:ascii="仿宋" w:hAnsi="仿宋" w:eastAsia="仿宋" w:cs="仿宋"/>
          <w:color w:val="auto"/>
          <w:sz w:val="30"/>
          <w:szCs w:val="30"/>
        </w:rPr>
        <w:t>实际交付货物数量</w:t>
      </w:r>
      <w:r>
        <w:rPr>
          <w:rFonts w:hint="eastAsia" w:ascii="仿宋" w:hAnsi="仿宋" w:eastAsia="仿宋" w:cs="仿宋"/>
          <w:color w:val="auto"/>
          <w:sz w:val="30"/>
          <w:szCs w:val="30"/>
          <w:lang w:val="en-US" w:eastAsia="zh-CN"/>
        </w:rPr>
        <w:t>和投标单价</w:t>
      </w:r>
      <w:r>
        <w:rPr>
          <w:rFonts w:hint="eastAsia" w:ascii="仿宋" w:hAnsi="仿宋" w:eastAsia="仿宋" w:cs="仿宋"/>
          <w:color w:val="auto"/>
          <w:sz w:val="30"/>
          <w:szCs w:val="30"/>
        </w:rPr>
        <w:t>支付货款。</w:t>
      </w:r>
      <w:r>
        <w:rPr>
          <w:rFonts w:hint="eastAsia" w:ascii="仿宋" w:hAnsi="仿宋" w:eastAsia="仿宋" w:cs="仿宋"/>
          <w:color w:val="auto"/>
          <w:sz w:val="30"/>
          <w:szCs w:val="30"/>
          <w:lang w:val="en-US" w:eastAsia="zh-CN"/>
        </w:rPr>
        <w:t>投标单价</w:t>
      </w:r>
      <w:r>
        <w:rPr>
          <w:rFonts w:hint="eastAsia" w:ascii="仿宋" w:hAnsi="仿宋" w:eastAsia="仿宋" w:cs="仿宋"/>
          <w:color w:val="auto"/>
          <w:sz w:val="30"/>
          <w:szCs w:val="30"/>
        </w:rPr>
        <w:t>包含运输、安装、调试、检验、培训、税金和保险等费用以及采购文件规定的其他费用。</w:t>
      </w:r>
    </w:p>
    <w:p w14:paraId="55B13F2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供货地点：采购人指定地点。</w:t>
      </w:r>
    </w:p>
    <w:p w14:paraId="3BAC10F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w:t>
      </w:r>
      <w:r>
        <w:rPr>
          <w:rFonts w:hint="eastAsia" w:ascii="仿宋" w:hAnsi="仿宋" w:eastAsia="仿宋" w:cs="仿宋"/>
          <w:color w:val="auto"/>
          <w:sz w:val="30"/>
          <w:szCs w:val="30"/>
          <w:lang w:val="en-US" w:eastAsia="zh-CN"/>
        </w:rPr>
        <w:t>期限</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合同签订后365日历天</w:t>
      </w:r>
      <w:r>
        <w:rPr>
          <w:rFonts w:hint="eastAsia" w:ascii="仿宋" w:hAnsi="仿宋" w:eastAsia="仿宋" w:cs="仿宋"/>
          <w:color w:val="auto"/>
          <w:sz w:val="30"/>
          <w:szCs w:val="30"/>
        </w:rPr>
        <w:t>。</w:t>
      </w:r>
    </w:p>
    <w:p w14:paraId="68A4076A">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验收方法：采购人应严格按照《财政部关于进一步加强政府采购需求和履约验收管理的指导意见》（财库2016）205号文件规定</w:t>
      </w:r>
      <w:r>
        <w:rPr>
          <w:rFonts w:hint="eastAsia" w:ascii="仿宋" w:hAnsi="仿宋" w:eastAsia="仿宋" w:cs="仿宋"/>
          <w:color w:val="auto"/>
          <w:sz w:val="30"/>
          <w:szCs w:val="30"/>
          <w:lang w:val="en-US" w:eastAsia="zh-CN"/>
        </w:rPr>
        <w:t>及符合国家、行业标准、四川省地方标准规定的验收标准</w:t>
      </w:r>
      <w:r>
        <w:rPr>
          <w:rFonts w:hint="eastAsia" w:ascii="仿宋" w:hAnsi="仿宋" w:eastAsia="仿宋" w:cs="仿宋"/>
          <w:color w:val="auto"/>
          <w:sz w:val="30"/>
          <w:szCs w:val="30"/>
        </w:rPr>
        <w:t>进行验收。</w:t>
      </w:r>
    </w:p>
    <w:p w14:paraId="38210D13">
      <w:pPr>
        <w:spacing w:line="360" w:lineRule="auto"/>
        <w:ind w:firstLine="600" w:firstLineChars="200"/>
        <w:outlineLvl w:val="2"/>
        <w:rPr>
          <w:rFonts w:hint="eastAsia" w:ascii="仿宋" w:hAnsi="仿宋" w:eastAsia="仿宋" w:cs="仿宋"/>
          <w:color w:val="auto"/>
          <w:sz w:val="30"/>
          <w:szCs w:val="30"/>
        </w:rPr>
        <w:sectPr>
          <w:footerReference r:id="rId7" w:type="first"/>
          <w:footerReference r:id="rId6" w:type="default"/>
          <w:pgSz w:w="11906" w:h="16840"/>
          <w:pgMar w:top="1440" w:right="1800" w:bottom="1440" w:left="1800" w:header="851" w:footer="992" w:gutter="0"/>
          <w:pgNumType w:fmt="decimal" w:start="1"/>
          <w:cols w:space="720" w:num="1"/>
          <w:titlePg/>
          <w:docGrid w:type="linesAndChars" w:linePitch="312" w:charSpace="0"/>
        </w:sectPr>
      </w:pPr>
      <w:r>
        <w:rPr>
          <w:rFonts w:hint="eastAsia" w:ascii="仿宋" w:hAnsi="仿宋" w:eastAsia="仿宋" w:cs="仿宋"/>
          <w:color w:val="auto"/>
          <w:sz w:val="30"/>
          <w:szCs w:val="30"/>
          <w:lang w:val="en-US" w:eastAsia="zh-CN"/>
        </w:rPr>
        <w:t>6、其它未尽事宜由双方在合同中约定。</w:t>
      </w:r>
      <w:r>
        <w:rPr>
          <w:rFonts w:hint="eastAsia" w:ascii="仿宋" w:hAnsi="仿宋" w:eastAsia="仿宋" w:cs="仿宋"/>
          <w:color w:val="auto"/>
          <w:sz w:val="30"/>
          <w:szCs w:val="30"/>
        </w:rPr>
        <w:t xml:space="preserve"> </w:t>
      </w:r>
    </w:p>
    <w:bookmarkEnd w:id="16"/>
    <w:bookmarkEnd w:id="17"/>
    <w:bookmarkEnd w:id="18"/>
    <w:bookmarkEnd w:id="19"/>
    <w:bookmarkEnd w:id="20"/>
    <w:p w14:paraId="166F782D">
      <w:pPr>
        <w:pStyle w:val="38"/>
        <w:rPr>
          <w:rFonts w:ascii="仿宋" w:hAnsi="仿宋" w:eastAsia="仿宋" w:cs="Times New Roman"/>
          <w:color w:val="auto"/>
          <w:sz w:val="30"/>
          <w:szCs w:val="30"/>
        </w:rPr>
      </w:pPr>
      <w:bookmarkStart w:id="82" w:name="_Toc41037907"/>
      <w:bookmarkStart w:id="83" w:name="_Toc509579145"/>
      <w:bookmarkStart w:id="84" w:name="_Toc183582232"/>
      <w:bookmarkStart w:id="85" w:name="_Toc217446057"/>
      <w:bookmarkStart w:id="86" w:name="_Toc183682369"/>
      <w:r>
        <w:rPr>
          <w:rFonts w:hint="eastAsia" w:ascii="仿宋" w:hAnsi="仿宋" w:eastAsia="仿宋" w:cs="仿宋"/>
          <w:color w:val="auto"/>
        </w:rPr>
        <w:t>第六章谈判内容、谈判过程中可实质性变动的内容</w:t>
      </w:r>
      <w:bookmarkEnd w:id="82"/>
      <w:bookmarkEnd w:id="83"/>
    </w:p>
    <w:p w14:paraId="265ABD63">
      <w:pPr>
        <w:tabs>
          <w:tab w:val="left" w:pos="7665"/>
        </w:tabs>
        <w:spacing w:line="360" w:lineRule="auto"/>
        <w:ind w:firstLine="480"/>
        <w:rPr>
          <w:rFonts w:ascii="仿宋" w:hAnsi="仿宋" w:eastAsia="仿宋"/>
          <w:color w:val="auto"/>
          <w:sz w:val="30"/>
          <w:szCs w:val="30"/>
        </w:rPr>
      </w:pPr>
    </w:p>
    <w:p w14:paraId="21A389E4">
      <w:pPr>
        <w:tabs>
          <w:tab w:val="left" w:pos="7665"/>
        </w:tabs>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B38AF7C">
      <w:pPr>
        <w:tabs>
          <w:tab w:val="left" w:pos="7665"/>
        </w:tabs>
        <w:spacing w:line="360" w:lineRule="auto"/>
        <w:ind w:firstLine="480"/>
        <w:rPr>
          <w:rFonts w:ascii="仿宋" w:hAnsi="仿宋" w:eastAsia="仿宋"/>
          <w:color w:val="auto"/>
          <w:sz w:val="28"/>
          <w:szCs w:val="28"/>
        </w:rPr>
      </w:pPr>
    </w:p>
    <w:p w14:paraId="2518CE34">
      <w:pPr>
        <w:pStyle w:val="38"/>
        <w:rPr>
          <w:rFonts w:ascii="仿宋" w:hAnsi="仿宋" w:eastAsia="仿宋" w:cs="仿宋"/>
          <w:color w:val="auto"/>
        </w:rPr>
      </w:pPr>
      <w:bookmarkStart w:id="87" w:name="_Toc509579146"/>
      <w:bookmarkStart w:id="88" w:name="_Toc41037908"/>
    </w:p>
    <w:p w14:paraId="0E960DA4">
      <w:pPr>
        <w:pStyle w:val="38"/>
        <w:rPr>
          <w:rFonts w:ascii="仿宋" w:hAnsi="仿宋" w:eastAsia="仿宋" w:cs="仿宋"/>
          <w:color w:val="auto"/>
        </w:rPr>
      </w:pPr>
    </w:p>
    <w:p w14:paraId="704F9288">
      <w:pPr>
        <w:pStyle w:val="38"/>
        <w:rPr>
          <w:rFonts w:ascii="仿宋" w:hAnsi="仿宋" w:eastAsia="仿宋" w:cs="仿宋"/>
          <w:color w:val="auto"/>
        </w:rPr>
      </w:pPr>
    </w:p>
    <w:p w14:paraId="1E574652">
      <w:pPr>
        <w:pStyle w:val="38"/>
        <w:rPr>
          <w:rFonts w:ascii="仿宋" w:hAnsi="仿宋" w:eastAsia="仿宋" w:cs="仿宋"/>
          <w:color w:val="auto"/>
        </w:rPr>
      </w:pPr>
    </w:p>
    <w:p w14:paraId="102A0D73">
      <w:pPr>
        <w:pStyle w:val="38"/>
        <w:rPr>
          <w:rFonts w:ascii="仿宋" w:hAnsi="仿宋" w:eastAsia="仿宋" w:cs="仿宋"/>
          <w:color w:val="auto"/>
        </w:rPr>
      </w:pPr>
    </w:p>
    <w:p w14:paraId="013FFB64">
      <w:pPr>
        <w:pStyle w:val="38"/>
        <w:rPr>
          <w:rFonts w:ascii="仿宋" w:hAnsi="仿宋" w:eastAsia="仿宋" w:cs="仿宋"/>
          <w:color w:val="auto"/>
        </w:rPr>
      </w:pPr>
    </w:p>
    <w:p w14:paraId="75145478">
      <w:pPr>
        <w:pStyle w:val="38"/>
        <w:rPr>
          <w:rFonts w:ascii="仿宋" w:hAnsi="仿宋" w:eastAsia="仿宋" w:cs="仿宋"/>
          <w:color w:val="auto"/>
        </w:rPr>
      </w:pPr>
    </w:p>
    <w:p w14:paraId="14B0ABBF">
      <w:pPr>
        <w:pStyle w:val="38"/>
        <w:rPr>
          <w:rFonts w:ascii="仿宋" w:hAnsi="仿宋" w:eastAsia="仿宋" w:cs="Times New Roman"/>
          <w:color w:val="auto"/>
        </w:rPr>
      </w:pPr>
      <w:r>
        <w:rPr>
          <w:rFonts w:hint="eastAsia" w:ascii="仿宋" w:hAnsi="仿宋" w:eastAsia="仿宋" w:cs="仿宋"/>
          <w:color w:val="auto"/>
        </w:rPr>
        <w:br w:type="page"/>
      </w:r>
      <w:r>
        <w:rPr>
          <w:rFonts w:hint="eastAsia" w:ascii="仿宋" w:hAnsi="仿宋" w:eastAsia="仿宋" w:cs="仿宋"/>
          <w:color w:val="auto"/>
        </w:rPr>
        <w:t>第七章 响应文件格式</w:t>
      </w:r>
      <w:bookmarkEnd w:id="87"/>
      <w:bookmarkEnd w:id="88"/>
    </w:p>
    <w:p w14:paraId="2D020B6D">
      <w:pPr>
        <w:spacing w:line="360" w:lineRule="auto"/>
        <w:jc w:val="left"/>
        <w:rPr>
          <w:rFonts w:ascii="仿宋" w:hAnsi="仿宋" w:eastAsia="仿宋"/>
          <w:b/>
          <w:bCs/>
          <w:color w:val="auto"/>
          <w:sz w:val="32"/>
          <w:szCs w:val="32"/>
        </w:rPr>
      </w:pPr>
    </w:p>
    <w:p w14:paraId="056198F5">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一、本章所制响应文件格式（不包括签字盖章），除格式中明确将该格式作为实质性要求的，不具有强制性。</w:t>
      </w:r>
    </w:p>
    <w:p w14:paraId="1D592E4B">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二、本章所制响应文件格式有关表格中的备注栏，由供应商根据自身响应情况作解释性说明，不作为必填项。</w:t>
      </w:r>
    </w:p>
    <w:p w14:paraId="63760BB0">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三、本章所制响应文件格式中需要填写的相关内容事项，可能会与本采购项目无关，在不改变响应文件原义、不影响本项目采购需求的情况下，供应商可以不予填写，但应当注明。</w:t>
      </w:r>
    </w:p>
    <w:p w14:paraId="6C0FD1B9">
      <w:pPr>
        <w:spacing w:line="360" w:lineRule="auto"/>
        <w:jc w:val="center"/>
        <w:rPr>
          <w:rFonts w:ascii="仿宋" w:hAnsi="仿宋" w:eastAsia="仿宋"/>
          <w:b/>
          <w:bCs/>
          <w:color w:val="auto"/>
          <w:sz w:val="32"/>
          <w:szCs w:val="32"/>
        </w:rPr>
      </w:pPr>
    </w:p>
    <w:p w14:paraId="31EB08AD">
      <w:pPr>
        <w:jc w:val="center"/>
        <w:rPr>
          <w:b/>
          <w:color w:val="auto"/>
          <w:sz w:val="32"/>
          <w:szCs w:val="32"/>
        </w:rPr>
      </w:pPr>
      <w:r>
        <w:rPr>
          <w:rFonts w:ascii="仿宋" w:hAnsi="仿宋" w:eastAsia="仿宋"/>
          <w:b/>
          <w:bCs/>
          <w:color w:val="auto"/>
          <w:sz w:val="32"/>
          <w:szCs w:val="32"/>
        </w:rPr>
        <w:br w:type="page"/>
      </w:r>
      <w:r>
        <w:rPr>
          <w:rFonts w:hint="eastAsia"/>
          <w:b/>
          <w:color w:val="auto"/>
          <w:sz w:val="32"/>
          <w:szCs w:val="32"/>
        </w:rPr>
        <w:t>一、法定代表人授权书</w:t>
      </w:r>
    </w:p>
    <w:p w14:paraId="08A16D71">
      <w:pPr>
        <w:jc w:val="center"/>
        <w:rPr>
          <w:b/>
          <w:color w:val="auto"/>
          <w:sz w:val="44"/>
        </w:rPr>
      </w:pPr>
    </w:p>
    <w:p w14:paraId="368E4313">
      <w:pPr>
        <w:spacing w:line="400" w:lineRule="exact"/>
        <w:rPr>
          <w:rFonts w:ascii="宋体" w:hAnsi="宋体"/>
          <w:color w:val="auto"/>
          <w:sz w:val="24"/>
        </w:rPr>
      </w:pPr>
      <w:r>
        <w:rPr>
          <w:rFonts w:hint="eastAsia" w:ascii="宋体" w:hAnsi="宋体"/>
          <w:color w:val="auto"/>
          <w:sz w:val="24"/>
        </w:rPr>
        <w:t>XXX（采购代理机构名称）：</w:t>
      </w:r>
    </w:p>
    <w:p w14:paraId="5C4A963E">
      <w:pPr>
        <w:spacing w:line="400" w:lineRule="exact"/>
        <w:ind w:firstLine="480" w:firstLineChars="200"/>
        <w:rPr>
          <w:rFonts w:ascii="宋体" w:hAnsi="宋体"/>
          <w:color w:val="auto"/>
          <w:sz w:val="24"/>
        </w:rPr>
      </w:pPr>
      <w:r>
        <w:rPr>
          <w:rFonts w:hint="eastAsia" w:ascii="宋体" w:hAnsi="宋体"/>
          <w:color w:val="auto"/>
          <w:sz w:val="24"/>
        </w:rPr>
        <w:t>本授权声明：XXX（单位名称）,XXX（法定代表人姓名、职务）授权XXX</w:t>
      </w:r>
      <w:r>
        <w:rPr>
          <w:rFonts w:hint="eastAsia" w:ascii="宋体" w:hAnsi="宋体"/>
          <w:color w:val="auto"/>
          <w:sz w:val="24"/>
          <w:u w:val="single"/>
        </w:rPr>
        <w:t xml:space="preserve">                   </w:t>
      </w:r>
      <w:r>
        <w:rPr>
          <w:rFonts w:hint="eastAsia" w:ascii="宋体" w:hAnsi="宋体"/>
          <w:color w:val="auto"/>
          <w:sz w:val="24"/>
        </w:rPr>
        <w:t>（被授权人姓名、职务）为我方参加XXX项目（采购编号：XXX）谈判采购活动的合法代表，以我方名义全权处理该项目有关谈判、报价、签订合同以及执行合同等一切事宜。</w:t>
      </w:r>
    </w:p>
    <w:p w14:paraId="41BF5F92">
      <w:pPr>
        <w:spacing w:line="400" w:lineRule="exact"/>
        <w:ind w:firstLine="480" w:firstLineChars="200"/>
        <w:rPr>
          <w:rFonts w:ascii="宋体" w:hAnsi="宋体"/>
          <w:color w:val="auto"/>
          <w:sz w:val="24"/>
        </w:rPr>
      </w:pPr>
      <w:r>
        <w:rPr>
          <w:rFonts w:hint="eastAsia" w:ascii="宋体" w:hAnsi="宋体"/>
          <w:color w:val="auto"/>
          <w:sz w:val="24"/>
        </w:rPr>
        <w:t>特此声明。</w:t>
      </w:r>
    </w:p>
    <w:p w14:paraId="3609FFAC">
      <w:pPr>
        <w:spacing w:line="400" w:lineRule="exact"/>
        <w:ind w:firstLine="480" w:firstLineChars="200"/>
        <w:rPr>
          <w:rFonts w:ascii="宋体" w:hAnsi="宋体"/>
          <w:color w:val="auto"/>
          <w:sz w:val="24"/>
        </w:rPr>
      </w:pPr>
    </w:p>
    <w:p w14:paraId="205D0AA7">
      <w:pPr>
        <w:spacing w:line="400" w:lineRule="exact"/>
        <w:ind w:firstLine="480" w:firstLineChars="200"/>
        <w:rPr>
          <w:rFonts w:ascii="宋体" w:hAnsi="宋体"/>
          <w:color w:val="auto"/>
          <w:sz w:val="24"/>
        </w:rPr>
      </w:pPr>
    </w:p>
    <w:p w14:paraId="5BED3123">
      <w:pPr>
        <w:spacing w:line="400" w:lineRule="exact"/>
        <w:ind w:firstLine="480" w:firstLineChars="200"/>
        <w:rPr>
          <w:rFonts w:ascii="宋体" w:hAnsi="宋体"/>
          <w:color w:val="auto"/>
          <w:sz w:val="24"/>
        </w:rPr>
      </w:pPr>
      <w:r>
        <w:rPr>
          <w:rFonts w:hint="eastAsia" w:ascii="宋体" w:hAnsi="宋体"/>
          <w:color w:val="auto"/>
          <w:sz w:val="24"/>
        </w:rPr>
        <w:t>供应商名称：XXX（盖单位公章）</w:t>
      </w:r>
    </w:p>
    <w:p w14:paraId="753AB98B">
      <w:pPr>
        <w:spacing w:line="400" w:lineRule="exact"/>
        <w:ind w:firstLine="480" w:firstLineChars="200"/>
        <w:rPr>
          <w:rFonts w:ascii="宋体" w:hAnsi="宋体"/>
          <w:color w:val="auto"/>
          <w:sz w:val="24"/>
        </w:rPr>
      </w:pPr>
      <w:r>
        <w:rPr>
          <w:rFonts w:hint="eastAsia" w:ascii="宋体" w:hAnsi="宋体"/>
          <w:color w:val="auto"/>
          <w:sz w:val="24"/>
        </w:rPr>
        <w:t>法定代表人（签字或盖章）：XXX</w:t>
      </w:r>
    </w:p>
    <w:p w14:paraId="4347C858">
      <w:pPr>
        <w:spacing w:line="400" w:lineRule="exact"/>
        <w:ind w:firstLine="480" w:firstLineChars="200"/>
        <w:rPr>
          <w:rFonts w:ascii="宋体" w:hAnsi="宋体"/>
          <w:color w:val="auto"/>
          <w:sz w:val="24"/>
        </w:rPr>
      </w:pPr>
      <w:r>
        <w:rPr>
          <w:rFonts w:hint="eastAsia" w:ascii="宋体" w:hAnsi="宋体"/>
          <w:color w:val="auto"/>
          <w:sz w:val="24"/>
        </w:rPr>
        <w:t>职    务：XXX</w:t>
      </w:r>
    </w:p>
    <w:p w14:paraId="26A7C138">
      <w:pPr>
        <w:spacing w:line="400" w:lineRule="exact"/>
        <w:ind w:firstLine="480" w:firstLineChars="200"/>
        <w:rPr>
          <w:rFonts w:ascii="宋体" w:hAnsi="宋体"/>
          <w:color w:val="auto"/>
          <w:sz w:val="24"/>
        </w:rPr>
      </w:pPr>
      <w:r>
        <w:rPr>
          <w:rFonts w:hint="eastAsia" w:ascii="宋体" w:hAnsi="宋体"/>
          <w:color w:val="auto"/>
          <w:sz w:val="24"/>
        </w:rPr>
        <w:t>授权代表签字：XXX</w:t>
      </w:r>
    </w:p>
    <w:p w14:paraId="068EE5C9">
      <w:pPr>
        <w:spacing w:line="400" w:lineRule="exact"/>
        <w:ind w:firstLine="480" w:firstLineChars="200"/>
        <w:rPr>
          <w:rFonts w:ascii="宋体" w:hAnsi="宋体"/>
          <w:color w:val="auto"/>
          <w:sz w:val="24"/>
        </w:rPr>
      </w:pPr>
      <w:r>
        <w:rPr>
          <w:rFonts w:hint="eastAsia" w:ascii="宋体" w:hAnsi="宋体"/>
          <w:color w:val="auto"/>
          <w:sz w:val="24"/>
        </w:rPr>
        <w:t>职    务：XXX</w:t>
      </w:r>
    </w:p>
    <w:p w14:paraId="5C7BAA97">
      <w:pPr>
        <w:spacing w:line="400" w:lineRule="exact"/>
        <w:ind w:firstLine="480" w:firstLineChars="200"/>
        <w:rPr>
          <w:rFonts w:ascii="宋体" w:hAnsi="宋体"/>
          <w:color w:val="auto"/>
          <w:sz w:val="24"/>
        </w:rPr>
      </w:pPr>
      <w:r>
        <w:rPr>
          <w:rFonts w:hint="eastAsia" w:ascii="宋体" w:hAnsi="宋体"/>
          <w:color w:val="auto"/>
          <w:sz w:val="24"/>
        </w:rPr>
        <w:t>日    期：XXX年XXX月XXX日</w:t>
      </w:r>
    </w:p>
    <w:p w14:paraId="3F8BE669">
      <w:pPr>
        <w:spacing w:line="400" w:lineRule="exact"/>
        <w:rPr>
          <w:color w:val="auto"/>
          <w:sz w:val="24"/>
        </w:rPr>
      </w:pPr>
    </w:p>
    <w:p w14:paraId="12FF5EE9">
      <w:pPr>
        <w:spacing w:line="400" w:lineRule="exact"/>
        <w:rPr>
          <w:color w:val="auto"/>
          <w:sz w:val="32"/>
        </w:rPr>
      </w:pPr>
    </w:p>
    <w:p w14:paraId="0184D66D">
      <w:pPr>
        <w:spacing w:line="400" w:lineRule="exact"/>
        <w:rPr>
          <w:color w:val="auto"/>
          <w:sz w:val="32"/>
        </w:rPr>
      </w:pPr>
    </w:p>
    <w:p w14:paraId="40EF6E96">
      <w:pPr>
        <w:spacing w:line="400" w:lineRule="exact"/>
        <w:rPr>
          <w:color w:val="auto"/>
          <w:sz w:val="32"/>
        </w:rPr>
      </w:pPr>
    </w:p>
    <w:p w14:paraId="1C753639">
      <w:pPr>
        <w:spacing w:line="400" w:lineRule="exact"/>
        <w:rPr>
          <w:color w:val="auto"/>
          <w:sz w:val="32"/>
        </w:rPr>
      </w:pPr>
    </w:p>
    <w:p w14:paraId="5F29BB14">
      <w:pPr>
        <w:spacing w:line="400" w:lineRule="exact"/>
        <w:rPr>
          <w:color w:val="auto"/>
          <w:sz w:val="32"/>
        </w:rPr>
      </w:pPr>
    </w:p>
    <w:p w14:paraId="508A55AA">
      <w:pPr>
        <w:spacing w:line="400" w:lineRule="exact"/>
        <w:rPr>
          <w:color w:val="auto"/>
          <w:sz w:val="32"/>
        </w:rPr>
      </w:pPr>
    </w:p>
    <w:p w14:paraId="5F0EB7F6">
      <w:pPr>
        <w:spacing w:line="400" w:lineRule="exact"/>
        <w:rPr>
          <w:color w:val="auto"/>
          <w:sz w:val="32"/>
        </w:rPr>
      </w:pPr>
    </w:p>
    <w:p w14:paraId="4C841CBB">
      <w:pPr>
        <w:spacing w:line="400" w:lineRule="exact"/>
        <w:rPr>
          <w:color w:val="auto"/>
          <w:sz w:val="32"/>
        </w:rPr>
      </w:pPr>
    </w:p>
    <w:p w14:paraId="39ADF0FB">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二、供应商基本情况表</w:t>
      </w:r>
    </w:p>
    <w:p w14:paraId="58A40F34">
      <w:pPr>
        <w:jc w:val="center"/>
        <w:rPr>
          <w:rFonts w:ascii="宋体" w:hAnsi="宋体" w:cs="Arial"/>
          <w:b/>
          <w:bCs/>
          <w:color w:val="auto"/>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49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1B51A02">
            <w:pPr>
              <w:jc w:val="center"/>
              <w:rPr>
                <w:rFonts w:ascii="宋体" w:hAnsi="宋体" w:cs="Arial"/>
                <w:bCs/>
                <w:color w:val="auto"/>
              </w:rPr>
            </w:pPr>
            <w:r>
              <w:rPr>
                <w:rFonts w:hint="eastAsia" w:ascii="宋体" w:hAnsi="宋体" w:cs="Arial"/>
                <w:bCs/>
                <w:color w:val="auto"/>
              </w:rPr>
              <w:t>供应商名称</w:t>
            </w:r>
          </w:p>
        </w:tc>
        <w:tc>
          <w:tcPr>
            <w:tcW w:w="7560" w:type="dxa"/>
            <w:gridSpan w:val="11"/>
            <w:vAlign w:val="center"/>
          </w:tcPr>
          <w:p w14:paraId="245430BD">
            <w:pPr>
              <w:jc w:val="center"/>
              <w:rPr>
                <w:rFonts w:ascii="宋体" w:hAnsi="宋体" w:cs="Arial"/>
                <w:bCs/>
                <w:color w:val="auto"/>
              </w:rPr>
            </w:pPr>
          </w:p>
        </w:tc>
      </w:tr>
      <w:tr w14:paraId="250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09E3B1E">
            <w:pPr>
              <w:jc w:val="center"/>
              <w:rPr>
                <w:rFonts w:ascii="宋体" w:hAnsi="宋体" w:cs="Arial"/>
                <w:bCs/>
                <w:color w:val="auto"/>
              </w:rPr>
            </w:pPr>
            <w:r>
              <w:rPr>
                <w:rFonts w:hint="eastAsia" w:ascii="宋体" w:hAnsi="宋体" w:cs="Arial"/>
                <w:bCs/>
                <w:color w:val="auto"/>
              </w:rPr>
              <w:t>注册地址</w:t>
            </w:r>
          </w:p>
        </w:tc>
        <w:tc>
          <w:tcPr>
            <w:tcW w:w="4680" w:type="dxa"/>
            <w:gridSpan w:val="6"/>
            <w:vAlign w:val="center"/>
          </w:tcPr>
          <w:p w14:paraId="5A29D9B6">
            <w:pPr>
              <w:jc w:val="center"/>
              <w:rPr>
                <w:rFonts w:ascii="宋体" w:hAnsi="宋体" w:cs="Arial"/>
                <w:bCs/>
                <w:color w:val="auto"/>
              </w:rPr>
            </w:pPr>
          </w:p>
        </w:tc>
        <w:tc>
          <w:tcPr>
            <w:tcW w:w="1260" w:type="dxa"/>
            <w:gridSpan w:val="3"/>
            <w:vAlign w:val="center"/>
          </w:tcPr>
          <w:p w14:paraId="5EC2E234">
            <w:pPr>
              <w:jc w:val="center"/>
              <w:rPr>
                <w:rFonts w:ascii="宋体" w:hAnsi="宋体" w:cs="Arial"/>
                <w:bCs/>
                <w:color w:val="auto"/>
              </w:rPr>
            </w:pPr>
            <w:r>
              <w:rPr>
                <w:rFonts w:hint="eastAsia" w:ascii="宋体" w:hAnsi="宋体" w:cs="Arial"/>
                <w:bCs/>
                <w:color w:val="auto"/>
              </w:rPr>
              <w:t>邮政编码</w:t>
            </w:r>
          </w:p>
        </w:tc>
        <w:tc>
          <w:tcPr>
            <w:tcW w:w="1620" w:type="dxa"/>
            <w:gridSpan w:val="2"/>
            <w:vAlign w:val="center"/>
          </w:tcPr>
          <w:p w14:paraId="6B2828E7">
            <w:pPr>
              <w:jc w:val="center"/>
              <w:rPr>
                <w:rFonts w:ascii="宋体" w:hAnsi="宋体" w:cs="Arial"/>
                <w:bCs/>
                <w:color w:val="auto"/>
              </w:rPr>
            </w:pPr>
          </w:p>
        </w:tc>
      </w:tr>
      <w:tr w14:paraId="0E4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A9A0C1C">
            <w:pPr>
              <w:jc w:val="center"/>
              <w:rPr>
                <w:rFonts w:ascii="宋体" w:hAnsi="宋体" w:cs="Arial"/>
                <w:bCs/>
                <w:color w:val="auto"/>
              </w:rPr>
            </w:pPr>
            <w:r>
              <w:rPr>
                <w:rFonts w:hint="eastAsia" w:ascii="宋体" w:hAnsi="宋体" w:cs="Arial"/>
                <w:bCs/>
                <w:color w:val="auto"/>
              </w:rPr>
              <w:t>联系方式</w:t>
            </w:r>
          </w:p>
        </w:tc>
        <w:tc>
          <w:tcPr>
            <w:tcW w:w="1080" w:type="dxa"/>
            <w:vAlign w:val="center"/>
          </w:tcPr>
          <w:p w14:paraId="12D52F59">
            <w:pPr>
              <w:jc w:val="center"/>
              <w:rPr>
                <w:rFonts w:ascii="宋体" w:hAnsi="宋体" w:cs="Arial"/>
                <w:bCs/>
                <w:color w:val="auto"/>
              </w:rPr>
            </w:pPr>
            <w:r>
              <w:rPr>
                <w:rFonts w:hint="eastAsia" w:ascii="宋体" w:hAnsi="宋体" w:cs="Arial"/>
                <w:bCs/>
                <w:color w:val="auto"/>
              </w:rPr>
              <w:t>联系人</w:t>
            </w:r>
          </w:p>
        </w:tc>
        <w:tc>
          <w:tcPr>
            <w:tcW w:w="3600" w:type="dxa"/>
            <w:gridSpan w:val="5"/>
            <w:vAlign w:val="center"/>
          </w:tcPr>
          <w:p w14:paraId="6A2868ED">
            <w:pPr>
              <w:jc w:val="center"/>
              <w:rPr>
                <w:rFonts w:ascii="宋体" w:hAnsi="宋体" w:cs="Arial"/>
                <w:bCs/>
                <w:color w:val="auto"/>
              </w:rPr>
            </w:pPr>
          </w:p>
        </w:tc>
        <w:tc>
          <w:tcPr>
            <w:tcW w:w="1260" w:type="dxa"/>
            <w:gridSpan w:val="3"/>
            <w:vAlign w:val="center"/>
          </w:tcPr>
          <w:p w14:paraId="3D99F949">
            <w:pPr>
              <w:jc w:val="center"/>
              <w:rPr>
                <w:rFonts w:ascii="宋体" w:hAnsi="宋体" w:cs="Arial"/>
                <w:bCs/>
                <w:color w:val="auto"/>
              </w:rPr>
            </w:pPr>
            <w:r>
              <w:rPr>
                <w:rFonts w:hint="eastAsia" w:ascii="宋体" w:hAnsi="宋体" w:cs="Arial"/>
                <w:bCs/>
                <w:color w:val="auto"/>
              </w:rPr>
              <w:t>联系电话</w:t>
            </w:r>
          </w:p>
        </w:tc>
        <w:tc>
          <w:tcPr>
            <w:tcW w:w="1620" w:type="dxa"/>
            <w:gridSpan w:val="2"/>
            <w:vAlign w:val="center"/>
          </w:tcPr>
          <w:p w14:paraId="1987BEFB">
            <w:pPr>
              <w:jc w:val="center"/>
              <w:rPr>
                <w:rFonts w:ascii="宋体" w:hAnsi="宋体" w:cs="Arial"/>
                <w:bCs/>
                <w:color w:val="auto"/>
              </w:rPr>
            </w:pPr>
          </w:p>
        </w:tc>
      </w:tr>
      <w:tr w14:paraId="67F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E918CA">
            <w:pPr>
              <w:jc w:val="center"/>
              <w:rPr>
                <w:rFonts w:ascii="宋体" w:hAnsi="宋体" w:cs="Arial"/>
                <w:bCs/>
                <w:color w:val="auto"/>
              </w:rPr>
            </w:pPr>
          </w:p>
        </w:tc>
        <w:tc>
          <w:tcPr>
            <w:tcW w:w="1080" w:type="dxa"/>
            <w:vAlign w:val="center"/>
          </w:tcPr>
          <w:p w14:paraId="74095912">
            <w:pPr>
              <w:jc w:val="center"/>
              <w:rPr>
                <w:rFonts w:ascii="宋体" w:hAnsi="宋体" w:cs="Arial"/>
                <w:bCs/>
                <w:color w:val="auto"/>
              </w:rPr>
            </w:pPr>
            <w:r>
              <w:rPr>
                <w:rFonts w:hint="eastAsia" w:ascii="宋体" w:hAnsi="宋体" w:cs="Arial"/>
                <w:bCs/>
                <w:color w:val="auto"/>
              </w:rPr>
              <w:t>传真</w:t>
            </w:r>
          </w:p>
        </w:tc>
        <w:tc>
          <w:tcPr>
            <w:tcW w:w="3600" w:type="dxa"/>
            <w:gridSpan w:val="5"/>
            <w:vAlign w:val="center"/>
          </w:tcPr>
          <w:p w14:paraId="3D316C6C">
            <w:pPr>
              <w:jc w:val="center"/>
              <w:rPr>
                <w:rFonts w:ascii="宋体" w:hAnsi="宋体" w:cs="Arial"/>
                <w:bCs/>
                <w:color w:val="auto"/>
              </w:rPr>
            </w:pPr>
          </w:p>
        </w:tc>
        <w:tc>
          <w:tcPr>
            <w:tcW w:w="1260" w:type="dxa"/>
            <w:gridSpan w:val="3"/>
            <w:vAlign w:val="center"/>
          </w:tcPr>
          <w:p w14:paraId="32624C13">
            <w:pPr>
              <w:jc w:val="center"/>
              <w:rPr>
                <w:rFonts w:ascii="宋体" w:hAnsi="宋体" w:cs="Arial"/>
                <w:bCs/>
                <w:color w:val="auto"/>
              </w:rPr>
            </w:pPr>
            <w:r>
              <w:rPr>
                <w:rFonts w:hint="eastAsia" w:ascii="宋体" w:hAnsi="宋体" w:cs="Arial"/>
                <w:bCs/>
                <w:color w:val="auto"/>
              </w:rPr>
              <w:t>网址</w:t>
            </w:r>
          </w:p>
        </w:tc>
        <w:tc>
          <w:tcPr>
            <w:tcW w:w="1620" w:type="dxa"/>
            <w:gridSpan w:val="2"/>
            <w:vAlign w:val="center"/>
          </w:tcPr>
          <w:p w14:paraId="56BD50A7">
            <w:pPr>
              <w:jc w:val="center"/>
              <w:rPr>
                <w:rFonts w:ascii="宋体" w:hAnsi="宋体" w:cs="Arial"/>
                <w:bCs/>
                <w:color w:val="auto"/>
              </w:rPr>
            </w:pPr>
          </w:p>
        </w:tc>
      </w:tr>
      <w:tr w14:paraId="24C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8189017">
            <w:pPr>
              <w:jc w:val="center"/>
              <w:rPr>
                <w:rFonts w:ascii="宋体" w:hAnsi="宋体" w:cs="Arial"/>
                <w:bCs/>
                <w:color w:val="auto"/>
              </w:rPr>
            </w:pPr>
            <w:r>
              <w:rPr>
                <w:rFonts w:hint="eastAsia" w:ascii="宋体" w:hAnsi="宋体" w:cs="Arial"/>
                <w:bCs/>
                <w:color w:val="auto"/>
              </w:rPr>
              <w:t>组织结构</w:t>
            </w:r>
          </w:p>
        </w:tc>
        <w:tc>
          <w:tcPr>
            <w:tcW w:w="7560" w:type="dxa"/>
            <w:gridSpan w:val="11"/>
            <w:vAlign w:val="center"/>
          </w:tcPr>
          <w:p w14:paraId="0CFEB28F">
            <w:pPr>
              <w:jc w:val="center"/>
              <w:rPr>
                <w:rFonts w:ascii="宋体" w:hAnsi="宋体" w:cs="Arial"/>
                <w:bCs/>
                <w:color w:val="auto"/>
              </w:rPr>
            </w:pPr>
          </w:p>
        </w:tc>
      </w:tr>
      <w:tr w14:paraId="3AB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3D57078">
            <w:pPr>
              <w:jc w:val="center"/>
              <w:rPr>
                <w:rFonts w:ascii="宋体" w:hAnsi="宋体" w:cs="Arial"/>
                <w:bCs/>
                <w:color w:val="auto"/>
              </w:rPr>
            </w:pPr>
            <w:r>
              <w:rPr>
                <w:rFonts w:hint="eastAsia" w:ascii="宋体" w:hAnsi="宋体" w:cs="Arial"/>
                <w:bCs/>
                <w:color w:val="auto"/>
              </w:rPr>
              <w:t>法定代表人</w:t>
            </w:r>
          </w:p>
        </w:tc>
        <w:tc>
          <w:tcPr>
            <w:tcW w:w="1260" w:type="dxa"/>
            <w:gridSpan w:val="2"/>
            <w:vAlign w:val="center"/>
          </w:tcPr>
          <w:p w14:paraId="5EAC896A">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7CE85FC">
            <w:pPr>
              <w:jc w:val="center"/>
              <w:rPr>
                <w:rFonts w:ascii="宋体" w:hAnsi="宋体" w:cs="Arial"/>
                <w:bCs/>
                <w:color w:val="auto"/>
              </w:rPr>
            </w:pPr>
          </w:p>
        </w:tc>
        <w:tc>
          <w:tcPr>
            <w:tcW w:w="1260" w:type="dxa"/>
            <w:vAlign w:val="center"/>
          </w:tcPr>
          <w:p w14:paraId="7C23F35F">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2DDE982C">
            <w:pPr>
              <w:jc w:val="center"/>
              <w:rPr>
                <w:rFonts w:ascii="宋体" w:hAnsi="宋体" w:cs="Arial"/>
                <w:bCs/>
                <w:color w:val="auto"/>
              </w:rPr>
            </w:pPr>
          </w:p>
        </w:tc>
        <w:tc>
          <w:tcPr>
            <w:tcW w:w="1260" w:type="dxa"/>
            <w:gridSpan w:val="3"/>
            <w:vAlign w:val="center"/>
          </w:tcPr>
          <w:p w14:paraId="12C30F37">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79160A37">
            <w:pPr>
              <w:jc w:val="center"/>
              <w:rPr>
                <w:rFonts w:ascii="宋体" w:hAnsi="宋体" w:cs="Arial"/>
                <w:bCs/>
                <w:color w:val="auto"/>
              </w:rPr>
            </w:pPr>
          </w:p>
        </w:tc>
      </w:tr>
      <w:tr w14:paraId="5482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1FB739F">
            <w:pPr>
              <w:jc w:val="center"/>
              <w:rPr>
                <w:rFonts w:ascii="宋体" w:hAnsi="宋体" w:cs="Arial"/>
                <w:bCs/>
                <w:color w:val="auto"/>
              </w:rPr>
            </w:pPr>
            <w:r>
              <w:rPr>
                <w:rFonts w:hint="eastAsia" w:ascii="宋体" w:hAnsi="宋体" w:cs="Arial"/>
                <w:bCs/>
                <w:color w:val="auto"/>
              </w:rPr>
              <w:t>技术负责人</w:t>
            </w:r>
          </w:p>
        </w:tc>
        <w:tc>
          <w:tcPr>
            <w:tcW w:w="1260" w:type="dxa"/>
            <w:gridSpan w:val="2"/>
            <w:vAlign w:val="center"/>
          </w:tcPr>
          <w:p w14:paraId="5763F4BB">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FB8F573">
            <w:pPr>
              <w:jc w:val="center"/>
              <w:rPr>
                <w:rFonts w:ascii="宋体" w:hAnsi="宋体" w:cs="Arial"/>
                <w:bCs/>
                <w:color w:val="auto"/>
              </w:rPr>
            </w:pPr>
          </w:p>
        </w:tc>
        <w:tc>
          <w:tcPr>
            <w:tcW w:w="1260" w:type="dxa"/>
            <w:vAlign w:val="center"/>
          </w:tcPr>
          <w:p w14:paraId="37FC2C46">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04D130A1">
            <w:pPr>
              <w:jc w:val="center"/>
              <w:rPr>
                <w:rFonts w:ascii="宋体" w:hAnsi="宋体" w:cs="Arial"/>
                <w:bCs/>
                <w:color w:val="auto"/>
              </w:rPr>
            </w:pPr>
          </w:p>
        </w:tc>
        <w:tc>
          <w:tcPr>
            <w:tcW w:w="1260" w:type="dxa"/>
            <w:gridSpan w:val="3"/>
            <w:vAlign w:val="center"/>
          </w:tcPr>
          <w:p w14:paraId="105E43BF">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1F1017FD">
            <w:pPr>
              <w:jc w:val="center"/>
              <w:rPr>
                <w:rFonts w:ascii="宋体" w:hAnsi="宋体" w:cs="Arial"/>
                <w:bCs/>
                <w:color w:val="auto"/>
              </w:rPr>
            </w:pPr>
          </w:p>
        </w:tc>
      </w:tr>
      <w:tr w14:paraId="227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B1079FD">
            <w:pPr>
              <w:jc w:val="center"/>
              <w:rPr>
                <w:rFonts w:ascii="宋体" w:hAnsi="宋体" w:cs="Arial"/>
                <w:bCs/>
                <w:color w:val="auto"/>
              </w:rPr>
            </w:pPr>
            <w:r>
              <w:rPr>
                <w:rFonts w:hint="eastAsia" w:ascii="宋体" w:hAnsi="宋体" w:cs="Arial"/>
                <w:bCs/>
                <w:color w:val="auto"/>
              </w:rPr>
              <w:t>成立时间</w:t>
            </w:r>
          </w:p>
        </w:tc>
        <w:tc>
          <w:tcPr>
            <w:tcW w:w="2520" w:type="dxa"/>
            <w:gridSpan w:val="3"/>
            <w:vAlign w:val="center"/>
          </w:tcPr>
          <w:p w14:paraId="10ABF268">
            <w:pPr>
              <w:jc w:val="center"/>
              <w:rPr>
                <w:rFonts w:ascii="宋体" w:hAnsi="宋体" w:cs="Arial"/>
                <w:bCs/>
                <w:color w:val="auto"/>
              </w:rPr>
            </w:pPr>
          </w:p>
        </w:tc>
        <w:tc>
          <w:tcPr>
            <w:tcW w:w="5040" w:type="dxa"/>
            <w:gridSpan w:val="8"/>
            <w:vAlign w:val="center"/>
          </w:tcPr>
          <w:p w14:paraId="77859E46">
            <w:pPr>
              <w:jc w:val="center"/>
              <w:rPr>
                <w:rFonts w:ascii="宋体" w:hAnsi="宋体" w:cs="Arial"/>
                <w:bCs/>
                <w:color w:val="auto"/>
              </w:rPr>
            </w:pPr>
            <w:r>
              <w:rPr>
                <w:rFonts w:hint="eastAsia" w:ascii="宋体" w:hAnsi="宋体" w:cs="Arial"/>
                <w:bCs/>
                <w:color w:val="auto"/>
              </w:rPr>
              <w:t>员工总人数：</w:t>
            </w:r>
          </w:p>
        </w:tc>
      </w:tr>
      <w:tr w14:paraId="16E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A5B4FF5">
            <w:pPr>
              <w:jc w:val="center"/>
              <w:rPr>
                <w:rFonts w:ascii="宋体" w:hAnsi="宋体" w:cs="Arial"/>
                <w:bCs/>
                <w:color w:val="auto"/>
              </w:rPr>
            </w:pPr>
            <w:r>
              <w:rPr>
                <w:rFonts w:hint="eastAsia" w:ascii="宋体" w:hAnsi="宋体" w:cs="Arial"/>
                <w:bCs/>
                <w:color w:val="auto"/>
              </w:rPr>
              <w:t>企业资质等级</w:t>
            </w:r>
          </w:p>
        </w:tc>
        <w:tc>
          <w:tcPr>
            <w:tcW w:w="2520" w:type="dxa"/>
            <w:gridSpan w:val="3"/>
            <w:vAlign w:val="center"/>
          </w:tcPr>
          <w:p w14:paraId="436EC7C6">
            <w:pPr>
              <w:jc w:val="center"/>
              <w:rPr>
                <w:rFonts w:ascii="宋体" w:hAnsi="宋体" w:cs="Arial"/>
                <w:bCs/>
                <w:color w:val="auto"/>
              </w:rPr>
            </w:pPr>
          </w:p>
        </w:tc>
        <w:tc>
          <w:tcPr>
            <w:tcW w:w="1680" w:type="dxa"/>
            <w:gridSpan w:val="2"/>
            <w:vMerge w:val="restart"/>
            <w:vAlign w:val="center"/>
          </w:tcPr>
          <w:p w14:paraId="189EE68D">
            <w:pPr>
              <w:jc w:val="center"/>
              <w:rPr>
                <w:rFonts w:ascii="宋体" w:hAnsi="宋体" w:cs="Arial"/>
                <w:bCs/>
                <w:color w:val="auto"/>
              </w:rPr>
            </w:pPr>
            <w:r>
              <w:rPr>
                <w:rFonts w:hint="eastAsia" w:ascii="宋体" w:hAnsi="宋体" w:cs="Arial"/>
                <w:bCs/>
                <w:color w:val="auto"/>
              </w:rPr>
              <w:t>其中</w:t>
            </w:r>
          </w:p>
        </w:tc>
        <w:tc>
          <w:tcPr>
            <w:tcW w:w="1680" w:type="dxa"/>
            <w:gridSpan w:val="3"/>
            <w:vAlign w:val="center"/>
          </w:tcPr>
          <w:p w14:paraId="3F08A9A8">
            <w:pPr>
              <w:jc w:val="center"/>
              <w:rPr>
                <w:rFonts w:ascii="宋体" w:hAnsi="宋体" w:cs="Arial"/>
                <w:bCs/>
                <w:color w:val="auto"/>
              </w:rPr>
            </w:pPr>
            <w:r>
              <w:rPr>
                <w:rFonts w:hint="eastAsia" w:ascii="宋体" w:hAnsi="宋体" w:cs="Arial"/>
                <w:bCs/>
                <w:color w:val="auto"/>
              </w:rPr>
              <w:t>项目经理</w:t>
            </w:r>
          </w:p>
        </w:tc>
        <w:tc>
          <w:tcPr>
            <w:tcW w:w="1680" w:type="dxa"/>
            <w:gridSpan w:val="3"/>
            <w:vAlign w:val="center"/>
          </w:tcPr>
          <w:p w14:paraId="18DBE891">
            <w:pPr>
              <w:jc w:val="center"/>
              <w:rPr>
                <w:rFonts w:ascii="宋体" w:hAnsi="宋体" w:cs="Arial"/>
                <w:bCs/>
                <w:color w:val="auto"/>
              </w:rPr>
            </w:pPr>
          </w:p>
        </w:tc>
      </w:tr>
      <w:tr w14:paraId="56E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EBB66AF">
            <w:pPr>
              <w:jc w:val="center"/>
              <w:rPr>
                <w:rFonts w:ascii="宋体" w:hAnsi="宋体" w:cs="Arial"/>
                <w:bCs/>
                <w:color w:val="auto"/>
              </w:rPr>
            </w:pPr>
            <w:r>
              <w:rPr>
                <w:rFonts w:hint="eastAsia" w:ascii="宋体" w:hAnsi="宋体" w:cs="Arial"/>
                <w:bCs/>
                <w:color w:val="auto"/>
              </w:rPr>
              <w:t>营业执照</w:t>
            </w:r>
            <w:r>
              <w:rPr>
                <w:rFonts w:hint="eastAsia"/>
                <w:color w:val="auto"/>
              </w:rPr>
              <w:t>号</w:t>
            </w:r>
          </w:p>
        </w:tc>
        <w:tc>
          <w:tcPr>
            <w:tcW w:w="2520" w:type="dxa"/>
            <w:gridSpan w:val="3"/>
            <w:vAlign w:val="center"/>
          </w:tcPr>
          <w:p w14:paraId="51731D27">
            <w:pPr>
              <w:jc w:val="center"/>
              <w:rPr>
                <w:rFonts w:ascii="宋体" w:hAnsi="宋体" w:cs="Arial"/>
                <w:bCs/>
                <w:color w:val="auto"/>
              </w:rPr>
            </w:pPr>
          </w:p>
        </w:tc>
        <w:tc>
          <w:tcPr>
            <w:tcW w:w="1680" w:type="dxa"/>
            <w:gridSpan w:val="2"/>
            <w:vMerge w:val="continue"/>
            <w:vAlign w:val="center"/>
          </w:tcPr>
          <w:p w14:paraId="5C301D40">
            <w:pPr>
              <w:jc w:val="center"/>
              <w:rPr>
                <w:rFonts w:ascii="宋体" w:hAnsi="宋体" w:cs="Arial"/>
                <w:bCs/>
                <w:color w:val="auto"/>
              </w:rPr>
            </w:pPr>
          </w:p>
        </w:tc>
        <w:tc>
          <w:tcPr>
            <w:tcW w:w="1680" w:type="dxa"/>
            <w:gridSpan w:val="3"/>
            <w:vAlign w:val="center"/>
          </w:tcPr>
          <w:p w14:paraId="7DE18046">
            <w:pPr>
              <w:jc w:val="center"/>
              <w:rPr>
                <w:rFonts w:ascii="宋体" w:hAnsi="宋体" w:cs="Arial"/>
                <w:bCs/>
                <w:color w:val="auto"/>
              </w:rPr>
            </w:pPr>
            <w:r>
              <w:rPr>
                <w:rFonts w:hint="eastAsia" w:ascii="宋体" w:hAnsi="宋体" w:cs="Arial"/>
                <w:bCs/>
                <w:color w:val="auto"/>
              </w:rPr>
              <w:t>高级职称人员</w:t>
            </w:r>
          </w:p>
        </w:tc>
        <w:tc>
          <w:tcPr>
            <w:tcW w:w="1680" w:type="dxa"/>
            <w:gridSpan w:val="3"/>
            <w:vAlign w:val="center"/>
          </w:tcPr>
          <w:p w14:paraId="1A6F1332">
            <w:pPr>
              <w:jc w:val="center"/>
              <w:rPr>
                <w:rFonts w:ascii="宋体" w:hAnsi="宋体" w:cs="Arial"/>
                <w:bCs/>
                <w:color w:val="auto"/>
              </w:rPr>
            </w:pPr>
          </w:p>
        </w:tc>
      </w:tr>
      <w:tr w14:paraId="24F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9DBDA8">
            <w:pPr>
              <w:jc w:val="center"/>
              <w:rPr>
                <w:rFonts w:ascii="宋体" w:hAnsi="宋体" w:cs="Arial"/>
                <w:bCs/>
                <w:color w:val="auto"/>
              </w:rPr>
            </w:pPr>
            <w:r>
              <w:rPr>
                <w:rFonts w:hint="eastAsia" w:ascii="宋体" w:hAnsi="宋体" w:cs="Arial"/>
                <w:bCs/>
                <w:color w:val="auto"/>
              </w:rPr>
              <w:t>注册资金</w:t>
            </w:r>
          </w:p>
        </w:tc>
        <w:tc>
          <w:tcPr>
            <w:tcW w:w="2520" w:type="dxa"/>
            <w:gridSpan w:val="3"/>
            <w:vAlign w:val="center"/>
          </w:tcPr>
          <w:p w14:paraId="51F07E9A">
            <w:pPr>
              <w:jc w:val="center"/>
              <w:rPr>
                <w:rFonts w:ascii="宋体" w:hAnsi="宋体" w:cs="Arial"/>
                <w:bCs/>
                <w:color w:val="auto"/>
              </w:rPr>
            </w:pPr>
          </w:p>
        </w:tc>
        <w:tc>
          <w:tcPr>
            <w:tcW w:w="1680" w:type="dxa"/>
            <w:gridSpan w:val="2"/>
            <w:vMerge w:val="continue"/>
            <w:vAlign w:val="center"/>
          </w:tcPr>
          <w:p w14:paraId="7B28CE1F">
            <w:pPr>
              <w:jc w:val="center"/>
              <w:rPr>
                <w:rFonts w:ascii="宋体" w:hAnsi="宋体" w:cs="Arial"/>
                <w:bCs/>
                <w:color w:val="auto"/>
              </w:rPr>
            </w:pPr>
          </w:p>
        </w:tc>
        <w:tc>
          <w:tcPr>
            <w:tcW w:w="1680" w:type="dxa"/>
            <w:gridSpan w:val="3"/>
            <w:vAlign w:val="center"/>
          </w:tcPr>
          <w:p w14:paraId="43277B36">
            <w:pPr>
              <w:jc w:val="center"/>
              <w:rPr>
                <w:rFonts w:ascii="宋体" w:hAnsi="宋体" w:cs="Arial"/>
                <w:bCs/>
                <w:color w:val="auto"/>
              </w:rPr>
            </w:pPr>
            <w:r>
              <w:rPr>
                <w:rFonts w:hint="eastAsia" w:ascii="宋体" w:hAnsi="宋体" w:cs="Arial"/>
                <w:bCs/>
                <w:color w:val="auto"/>
              </w:rPr>
              <w:t>中级职称人员</w:t>
            </w:r>
          </w:p>
        </w:tc>
        <w:tc>
          <w:tcPr>
            <w:tcW w:w="1680" w:type="dxa"/>
            <w:gridSpan w:val="3"/>
            <w:vAlign w:val="center"/>
          </w:tcPr>
          <w:p w14:paraId="2A8DF022">
            <w:pPr>
              <w:jc w:val="center"/>
              <w:rPr>
                <w:rFonts w:ascii="宋体" w:hAnsi="宋体" w:cs="Arial"/>
                <w:bCs/>
                <w:color w:val="auto"/>
              </w:rPr>
            </w:pPr>
          </w:p>
        </w:tc>
      </w:tr>
      <w:tr w14:paraId="4A7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3732CE9">
            <w:pPr>
              <w:jc w:val="center"/>
              <w:rPr>
                <w:rFonts w:ascii="宋体" w:hAnsi="宋体" w:cs="Arial"/>
                <w:bCs/>
                <w:color w:val="auto"/>
              </w:rPr>
            </w:pPr>
            <w:r>
              <w:rPr>
                <w:rFonts w:hint="eastAsia" w:ascii="宋体" w:hAnsi="宋体" w:cs="Arial"/>
                <w:bCs/>
                <w:color w:val="auto"/>
              </w:rPr>
              <w:t>开户银行</w:t>
            </w:r>
          </w:p>
        </w:tc>
        <w:tc>
          <w:tcPr>
            <w:tcW w:w="2520" w:type="dxa"/>
            <w:gridSpan w:val="3"/>
            <w:vAlign w:val="center"/>
          </w:tcPr>
          <w:p w14:paraId="3BE895CA">
            <w:pPr>
              <w:jc w:val="center"/>
              <w:rPr>
                <w:rFonts w:ascii="宋体" w:hAnsi="宋体" w:cs="Arial"/>
                <w:bCs/>
                <w:color w:val="auto"/>
              </w:rPr>
            </w:pPr>
          </w:p>
        </w:tc>
        <w:tc>
          <w:tcPr>
            <w:tcW w:w="1680" w:type="dxa"/>
            <w:gridSpan w:val="2"/>
            <w:vMerge w:val="continue"/>
            <w:vAlign w:val="center"/>
          </w:tcPr>
          <w:p w14:paraId="42FF6710">
            <w:pPr>
              <w:jc w:val="center"/>
              <w:rPr>
                <w:rFonts w:ascii="宋体" w:hAnsi="宋体" w:cs="Arial"/>
                <w:bCs/>
                <w:color w:val="auto"/>
              </w:rPr>
            </w:pPr>
          </w:p>
        </w:tc>
        <w:tc>
          <w:tcPr>
            <w:tcW w:w="1680" w:type="dxa"/>
            <w:gridSpan w:val="3"/>
            <w:vAlign w:val="center"/>
          </w:tcPr>
          <w:p w14:paraId="47F1B35A">
            <w:pPr>
              <w:jc w:val="center"/>
              <w:rPr>
                <w:rFonts w:ascii="宋体" w:hAnsi="宋体" w:cs="Arial"/>
                <w:bCs/>
                <w:color w:val="auto"/>
              </w:rPr>
            </w:pPr>
            <w:r>
              <w:rPr>
                <w:rFonts w:hint="eastAsia" w:ascii="宋体" w:hAnsi="宋体" w:cs="Arial"/>
                <w:bCs/>
                <w:color w:val="auto"/>
              </w:rPr>
              <w:t>初级职称人员</w:t>
            </w:r>
          </w:p>
        </w:tc>
        <w:tc>
          <w:tcPr>
            <w:tcW w:w="1680" w:type="dxa"/>
            <w:gridSpan w:val="3"/>
            <w:vAlign w:val="center"/>
          </w:tcPr>
          <w:p w14:paraId="51315291">
            <w:pPr>
              <w:jc w:val="center"/>
              <w:rPr>
                <w:rFonts w:ascii="宋体" w:hAnsi="宋体" w:cs="Arial"/>
                <w:bCs/>
                <w:color w:val="auto"/>
              </w:rPr>
            </w:pPr>
          </w:p>
        </w:tc>
      </w:tr>
      <w:tr w14:paraId="3556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2617095">
            <w:pPr>
              <w:jc w:val="center"/>
              <w:rPr>
                <w:rFonts w:ascii="宋体" w:hAnsi="宋体" w:cs="Arial"/>
                <w:bCs/>
                <w:color w:val="auto"/>
              </w:rPr>
            </w:pPr>
            <w:r>
              <w:rPr>
                <w:rFonts w:hint="eastAsia" w:ascii="宋体" w:hAnsi="宋体" w:cs="Arial"/>
                <w:bCs/>
                <w:color w:val="auto"/>
              </w:rPr>
              <w:t>账号</w:t>
            </w:r>
          </w:p>
        </w:tc>
        <w:tc>
          <w:tcPr>
            <w:tcW w:w="2520" w:type="dxa"/>
            <w:gridSpan w:val="3"/>
            <w:vAlign w:val="center"/>
          </w:tcPr>
          <w:p w14:paraId="53C4BFC9">
            <w:pPr>
              <w:jc w:val="center"/>
              <w:rPr>
                <w:rFonts w:ascii="宋体" w:hAnsi="宋体" w:cs="Arial"/>
                <w:bCs/>
                <w:color w:val="auto"/>
              </w:rPr>
            </w:pPr>
          </w:p>
        </w:tc>
        <w:tc>
          <w:tcPr>
            <w:tcW w:w="1680" w:type="dxa"/>
            <w:gridSpan w:val="2"/>
            <w:vMerge w:val="continue"/>
            <w:vAlign w:val="center"/>
          </w:tcPr>
          <w:p w14:paraId="458DD5E6">
            <w:pPr>
              <w:jc w:val="center"/>
              <w:rPr>
                <w:rFonts w:ascii="宋体" w:hAnsi="宋体" w:cs="Arial"/>
                <w:bCs/>
                <w:color w:val="auto"/>
              </w:rPr>
            </w:pPr>
          </w:p>
        </w:tc>
        <w:tc>
          <w:tcPr>
            <w:tcW w:w="1680" w:type="dxa"/>
            <w:gridSpan w:val="3"/>
            <w:vAlign w:val="center"/>
          </w:tcPr>
          <w:p w14:paraId="5D2B8573">
            <w:pPr>
              <w:jc w:val="center"/>
              <w:rPr>
                <w:rFonts w:ascii="宋体" w:hAnsi="宋体" w:cs="Arial"/>
                <w:bCs/>
                <w:color w:val="auto"/>
              </w:rPr>
            </w:pPr>
            <w:r>
              <w:rPr>
                <w:rFonts w:hint="eastAsia" w:ascii="宋体" w:hAnsi="宋体" w:cs="Arial"/>
                <w:bCs/>
                <w:color w:val="auto"/>
              </w:rPr>
              <w:t>技工</w:t>
            </w:r>
          </w:p>
        </w:tc>
        <w:tc>
          <w:tcPr>
            <w:tcW w:w="1680" w:type="dxa"/>
            <w:gridSpan w:val="3"/>
            <w:vAlign w:val="center"/>
          </w:tcPr>
          <w:p w14:paraId="1D72F32F">
            <w:pPr>
              <w:jc w:val="center"/>
              <w:rPr>
                <w:rFonts w:ascii="宋体" w:hAnsi="宋体" w:cs="Arial"/>
                <w:bCs/>
                <w:color w:val="auto"/>
              </w:rPr>
            </w:pPr>
          </w:p>
        </w:tc>
      </w:tr>
      <w:tr w14:paraId="56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DDF643F">
            <w:pPr>
              <w:jc w:val="center"/>
              <w:rPr>
                <w:rFonts w:ascii="宋体" w:hAnsi="宋体" w:cs="Arial"/>
                <w:bCs/>
                <w:color w:val="auto"/>
              </w:rPr>
            </w:pPr>
            <w:r>
              <w:rPr>
                <w:rFonts w:hint="eastAsia" w:ascii="宋体" w:hAnsi="宋体" w:cs="Arial"/>
                <w:bCs/>
                <w:color w:val="auto"/>
              </w:rPr>
              <w:t>经营范围</w:t>
            </w:r>
          </w:p>
        </w:tc>
        <w:tc>
          <w:tcPr>
            <w:tcW w:w="7560" w:type="dxa"/>
            <w:gridSpan w:val="11"/>
            <w:vAlign w:val="center"/>
          </w:tcPr>
          <w:p w14:paraId="6153C5AF">
            <w:pPr>
              <w:jc w:val="center"/>
              <w:rPr>
                <w:rFonts w:ascii="宋体" w:hAnsi="宋体" w:cs="Arial"/>
                <w:bCs/>
                <w:color w:val="auto"/>
              </w:rPr>
            </w:pPr>
          </w:p>
        </w:tc>
      </w:tr>
      <w:tr w14:paraId="5DE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B4419F">
            <w:pPr>
              <w:jc w:val="center"/>
              <w:rPr>
                <w:rFonts w:ascii="宋体" w:hAnsi="宋体" w:cs="Arial"/>
                <w:bCs/>
                <w:color w:val="auto"/>
              </w:rPr>
            </w:pPr>
            <w:r>
              <w:rPr>
                <w:rFonts w:hint="eastAsia" w:ascii="宋体" w:hAnsi="宋体" w:cs="Arial"/>
                <w:bCs/>
                <w:color w:val="auto"/>
              </w:rPr>
              <w:t>备注</w:t>
            </w:r>
          </w:p>
        </w:tc>
        <w:tc>
          <w:tcPr>
            <w:tcW w:w="7560" w:type="dxa"/>
            <w:gridSpan w:val="11"/>
            <w:vAlign w:val="center"/>
          </w:tcPr>
          <w:p w14:paraId="076029F2">
            <w:pPr>
              <w:jc w:val="center"/>
              <w:rPr>
                <w:rFonts w:ascii="宋体" w:hAnsi="宋体" w:cs="Arial"/>
                <w:bCs/>
                <w:color w:val="auto"/>
              </w:rPr>
            </w:pPr>
          </w:p>
        </w:tc>
      </w:tr>
    </w:tbl>
    <w:p w14:paraId="1F824DA7">
      <w:pPr>
        <w:adjustRightInd w:val="0"/>
        <w:spacing w:line="400" w:lineRule="exact"/>
        <w:jc w:val="left"/>
        <w:rPr>
          <w:rFonts w:ascii="宋体" w:hAnsi="宋体"/>
          <w:color w:val="auto"/>
          <w:sz w:val="24"/>
        </w:rPr>
      </w:pPr>
    </w:p>
    <w:p w14:paraId="2EE9138C">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403DDD2">
      <w:pPr>
        <w:adjustRightInd w:val="0"/>
        <w:spacing w:line="400" w:lineRule="exact"/>
        <w:jc w:val="left"/>
        <w:rPr>
          <w:bCs/>
          <w:color w:val="auto"/>
          <w:sz w:val="24"/>
        </w:rPr>
      </w:pPr>
      <w:r>
        <w:rPr>
          <w:rFonts w:hint="eastAsia"/>
          <w:bCs/>
          <w:color w:val="auto"/>
          <w:sz w:val="24"/>
        </w:rPr>
        <w:t>法定代表人或授权代表（签字或盖章）：XXX</w:t>
      </w:r>
    </w:p>
    <w:p w14:paraId="2A691700">
      <w:pPr>
        <w:adjustRightInd w:val="0"/>
        <w:spacing w:line="400" w:lineRule="exact"/>
        <w:jc w:val="left"/>
        <w:rPr>
          <w:bCs/>
          <w:color w:val="auto"/>
          <w:sz w:val="24"/>
        </w:rPr>
      </w:pPr>
      <w:r>
        <w:rPr>
          <w:rFonts w:hint="eastAsia"/>
          <w:bCs/>
          <w:color w:val="auto"/>
          <w:sz w:val="24"/>
        </w:rPr>
        <w:t>日  期：XXX年XXX月XXX日</w:t>
      </w:r>
    </w:p>
    <w:p w14:paraId="58022D2C">
      <w:pPr>
        <w:spacing w:line="400" w:lineRule="exact"/>
        <w:ind w:firstLine="560" w:firstLineChars="200"/>
        <w:jc w:val="center"/>
        <w:rPr>
          <w:rFonts w:ascii="宋体" w:hAnsi="宋体" w:eastAsia="黑体"/>
          <w:b/>
          <w:color w:val="auto"/>
          <w:sz w:val="28"/>
          <w:szCs w:val="28"/>
        </w:rPr>
      </w:pPr>
    </w:p>
    <w:p w14:paraId="181C36EC">
      <w:pPr>
        <w:spacing w:line="400" w:lineRule="exact"/>
        <w:ind w:firstLine="640" w:firstLineChars="20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三、承诺函</w:t>
      </w:r>
    </w:p>
    <w:p w14:paraId="6850C960">
      <w:pPr>
        <w:spacing w:line="400" w:lineRule="exact"/>
        <w:ind w:firstLine="560" w:firstLineChars="200"/>
        <w:jc w:val="center"/>
        <w:rPr>
          <w:rFonts w:ascii="宋体" w:hAnsi="宋体" w:eastAsia="黑体"/>
          <w:b/>
          <w:color w:val="auto"/>
          <w:sz w:val="28"/>
          <w:szCs w:val="28"/>
        </w:rPr>
      </w:pPr>
    </w:p>
    <w:p w14:paraId="3877B1B1">
      <w:pPr>
        <w:ind w:firstLine="480" w:firstLineChars="200"/>
        <w:jc w:val="left"/>
        <w:rPr>
          <w:rFonts w:ascii="宋体" w:hAnsi="宋体"/>
          <w:color w:val="auto"/>
          <w:sz w:val="24"/>
        </w:rPr>
      </w:pPr>
      <w:r>
        <w:rPr>
          <w:rFonts w:hint="eastAsia" w:ascii="宋体" w:hAnsi="宋体"/>
          <w:color w:val="auto"/>
          <w:sz w:val="24"/>
        </w:rPr>
        <w:t>XXX（采购代理机构名称）：</w:t>
      </w:r>
    </w:p>
    <w:p w14:paraId="555B42FD">
      <w:pPr>
        <w:ind w:firstLine="480" w:firstLineChars="200"/>
        <w:jc w:val="left"/>
        <w:rPr>
          <w:rFonts w:ascii="宋体" w:hAnsi="宋体"/>
          <w:color w:val="auto"/>
          <w:sz w:val="24"/>
        </w:rPr>
      </w:pPr>
      <w:r>
        <w:rPr>
          <w:rFonts w:hint="eastAsia" w:ascii="宋体" w:hAnsi="宋体"/>
          <w:color w:val="auto"/>
          <w:sz w:val="24"/>
        </w:rPr>
        <w:t>我公司作为本次采购项目的供应商，根据谈判文件要求，现郑重承诺如下：</w:t>
      </w:r>
    </w:p>
    <w:p w14:paraId="13CD85FF">
      <w:pPr>
        <w:ind w:firstLine="480" w:firstLineChars="200"/>
        <w:jc w:val="left"/>
        <w:rPr>
          <w:rFonts w:ascii="宋体" w:hAnsi="宋体"/>
          <w:color w:val="auto"/>
          <w:sz w:val="24"/>
        </w:rPr>
      </w:pPr>
      <w:r>
        <w:rPr>
          <w:rFonts w:hint="eastAsia" w:ascii="宋体" w:hAnsi="宋体"/>
          <w:color w:val="auto"/>
          <w:sz w:val="24"/>
        </w:rPr>
        <w:t>一、具备《中华人民共和国政府采购法》第二十二条第一款和本项目规定的条件：</w:t>
      </w:r>
    </w:p>
    <w:p w14:paraId="37AA4715">
      <w:pPr>
        <w:ind w:firstLine="480" w:firstLineChars="200"/>
        <w:jc w:val="left"/>
        <w:rPr>
          <w:rFonts w:ascii="宋体" w:hAnsi="宋体"/>
          <w:color w:val="auto"/>
          <w:sz w:val="24"/>
        </w:rPr>
      </w:pPr>
      <w:r>
        <w:rPr>
          <w:rFonts w:hint="eastAsia" w:ascii="宋体" w:hAnsi="宋体"/>
          <w:color w:val="auto"/>
          <w:sz w:val="24"/>
        </w:rPr>
        <w:t>（一）具有独立承担民事责任的能力；</w:t>
      </w:r>
    </w:p>
    <w:p w14:paraId="3540AEA4">
      <w:pPr>
        <w:ind w:firstLine="480" w:firstLineChars="200"/>
        <w:jc w:val="left"/>
        <w:rPr>
          <w:rFonts w:ascii="宋体" w:hAnsi="宋体"/>
          <w:color w:val="auto"/>
          <w:sz w:val="24"/>
        </w:rPr>
      </w:pPr>
      <w:r>
        <w:rPr>
          <w:rFonts w:hint="eastAsia" w:ascii="宋体" w:hAnsi="宋体"/>
          <w:color w:val="auto"/>
          <w:sz w:val="24"/>
        </w:rPr>
        <w:t>（二）具有良好的商业信誉和健全的财务会计制度；</w:t>
      </w:r>
    </w:p>
    <w:p w14:paraId="43D237B2">
      <w:pPr>
        <w:ind w:firstLine="480" w:firstLineChars="200"/>
        <w:jc w:val="left"/>
        <w:rPr>
          <w:rFonts w:ascii="宋体" w:hAnsi="宋体"/>
          <w:color w:val="auto"/>
          <w:sz w:val="24"/>
        </w:rPr>
      </w:pPr>
      <w:r>
        <w:rPr>
          <w:rFonts w:hint="eastAsia" w:ascii="宋体" w:hAnsi="宋体"/>
          <w:color w:val="auto"/>
          <w:sz w:val="24"/>
        </w:rPr>
        <w:t>（三）具有履行合同所必需的设备和专业技术能力；</w:t>
      </w:r>
    </w:p>
    <w:p w14:paraId="1EE1C4AC">
      <w:pPr>
        <w:ind w:firstLine="480" w:firstLineChars="200"/>
        <w:jc w:val="left"/>
        <w:rPr>
          <w:rFonts w:ascii="宋体" w:hAnsi="宋体"/>
          <w:color w:val="auto"/>
          <w:sz w:val="24"/>
        </w:rPr>
      </w:pPr>
      <w:r>
        <w:rPr>
          <w:rFonts w:hint="eastAsia" w:ascii="宋体" w:hAnsi="宋体"/>
          <w:color w:val="auto"/>
          <w:sz w:val="24"/>
        </w:rPr>
        <w:t>（四）有依法缴纳税收和社会保障资金的良好记录；</w:t>
      </w:r>
    </w:p>
    <w:p w14:paraId="3A343FE8">
      <w:pPr>
        <w:ind w:firstLine="480" w:firstLineChars="200"/>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1E83CD74">
      <w:pPr>
        <w:ind w:firstLine="480" w:firstLineChars="200"/>
        <w:jc w:val="left"/>
        <w:rPr>
          <w:rFonts w:ascii="宋体" w:hAnsi="宋体"/>
          <w:color w:val="auto"/>
          <w:sz w:val="24"/>
        </w:rPr>
      </w:pPr>
      <w:r>
        <w:rPr>
          <w:rFonts w:hint="eastAsia" w:ascii="宋体" w:hAnsi="宋体"/>
          <w:color w:val="auto"/>
          <w:sz w:val="24"/>
        </w:rPr>
        <w:t>（六）法律、行政法规规定的其他条件；</w:t>
      </w:r>
    </w:p>
    <w:p w14:paraId="4B6A44C9">
      <w:pPr>
        <w:ind w:firstLine="480" w:firstLineChars="200"/>
        <w:jc w:val="left"/>
        <w:rPr>
          <w:rFonts w:ascii="宋体" w:hAnsi="宋体"/>
          <w:color w:val="auto"/>
          <w:sz w:val="24"/>
        </w:rPr>
      </w:pPr>
      <w:r>
        <w:rPr>
          <w:rFonts w:hint="eastAsia" w:ascii="宋体" w:hAnsi="宋体"/>
          <w:color w:val="auto"/>
          <w:sz w:val="24"/>
        </w:rPr>
        <w:t>（七）根据采购项目提出的特殊条件。</w:t>
      </w:r>
    </w:p>
    <w:p w14:paraId="0EE03D9A">
      <w:pPr>
        <w:ind w:firstLine="480" w:firstLineChars="200"/>
        <w:jc w:val="left"/>
        <w:rPr>
          <w:rFonts w:ascii="宋体" w:hAnsi="宋体"/>
          <w:color w:val="auto"/>
          <w:sz w:val="24"/>
        </w:rPr>
      </w:pPr>
      <w:r>
        <w:rPr>
          <w:rFonts w:hint="eastAsia" w:ascii="宋体" w:hAnsi="宋体"/>
          <w:color w:val="auto"/>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222889B">
      <w:pPr>
        <w:ind w:firstLine="480" w:firstLineChars="200"/>
        <w:jc w:val="left"/>
        <w:rPr>
          <w:rFonts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三、在参加本次采购活动中，不存在与单位负责人为同一人或者存在直接控股、管理关系的其他供应商参与同一合同项下的政府采购活动的行为。</w:t>
      </w:r>
    </w:p>
    <w:p w14:paraId="3CF2B211">
      <w:pPr>
        <w:ind w:firstLine="480" w:firstLineChars="200"/>
        <w:jc w:val="left"/>
        <w:rPr>
          <w:rFonts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14:paraId="7047D8E8">
      <w:pPr>
        <w:ind w:firstLine="480" w:firstLineChars="200"/>
        <w:jc w:val="left"/>
        <w:rPr>
          <w:rFonts w:ascii="宋体" w:hAnsi="宋体"/>
          <w:color w:val="auto"/>
          <w:sz w:val="24"/>
        </w:rPr>
      </w:pPr>
      <w:r>
        <w:rPr>
          <w:rFonts w:hint="eastAsia" w:ascii="宋体" w:hAnsi="宋体"/>
          <w:color w:val="auto"/>
          <w:sz w:val="24"/>
        </w:rPr>
        <w:t>五、如果有《四川省公共资源交易领域严重失信联合惩戒实施办法》(川发改信用规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2018]1614号)规定的记入诚信档案的失信行为，将在响应文件中全面如实反映。</w:t>
      </w:r>
    </w:p>
    <w:p w14:paraId="1D9257F5">
      <w:pPr>
        <w:ind w:firstLine="480" w:firstLineChars="200"/>
        <w:jc w:val="left"/>
        <w:rPr>
          <w:rFonts w:ascii="宋体" w:hAnsi="宋体"/>
          <w:color w:val="auto"/>
          <w:sz w:val="24"/>
        </w:rPr>
      </w:pPr>
      <w:r>
        <w:rPr>
          <w:rFonts w:hint="eastAsia" w:ascii="宋体" w:hAnsi="宋体"/>
          <w:color w:val="auto"/>
          <w:sz w:val="24"/>
        </w:rPr>
        <w:t>六、响应文件中提供的任何资料和技术、服务、商务等响应承诺情况都是真实的、有效的、合法的。</w:t>
      </w:r>
    </w:p>
    <w:p w14:paraId="1777A772">
      <w:pPr>
        <w:ind w:firstLine="480" w:firstLineChars="200"/>
        <w:jc w:val="left"/>
        <w:rPr>
          <w:rFonts w:ascii="宋体" w:hAnsi="宋体"/>
          <w:color w:val="auto"/>
          <w:sz w:val="24"/>
        </w:rPr>
      </w:pPr>
      <w:r>
        <w:rPr>
          <w:rFonts w:hint="eastAsia" w:ascii="宋体" w:hAnsi="宋体"/>
          <w:color w:val="auto"/>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78C36EF">
      <w:pPr>
        <w:ind w:firstLine="480" w:firstLineChars="200"/>
        <w:jc w:val="left"/>
        <w:rPr>
          <w:rFonts w:ascii="宋体" w:hAnsi="宋体"/>
          <w:color w:val="auto"/>
          <w:sz w:val="24"/>
        </w:rPr>
      </w:pPr>
      <w:r>
        <w:rPr>
          <w:rFonts w:hint="eastAsia" w:ascii="宋体" w:hAnsi="宋体"/>
          <w:color w:val="auto"/>
          <w:sz w:val="24"/>
        </w:rPr>
        <w:t>本公司对上述承诺的内容事项真实性负责。如经查实上述承诺的内容事项存在虚假，我公司愿意接受以提供虚假材料谋取成交的法律责任。</w:t>
      </w:r>
    </w:p>
    <w:p w14:paraId="27FBAECE">
      <w:pPr>
        <w:ind w:firstLine="480" w:firstLineChars="200"/>
        <w:jc w:val="left"/>
        <w:rPr>
          <w:rFonts w:ascii="宋体" w:hAnsi="宋体"/>
          <w:color w:val="auto"/>
          <w:sz w:val="24"/>
        </w:rPr>
      </w:pPr>
    </w:p>
    <w:p w14:paraId="08E9CEE0">
      <w:pPr>
        <w:ind w:firstLine="480" w:firstLineChars="200"/>
        <w:jc w:val="left"/>
        <w:rPr>
          <w:rFonts w:ascii="宋体" w:hAnsi="宋体"/>
          <w:color w:val="auto"/>
          <w:sz w:val="24"/>
        </w:rPr>
      </w:pPr>
    </w:p>
    <w:p w14:paraId="2FA04855">
      <w:pPr>
        <w:ind w:firstLine="480" w:firstLineChars="200"/>
        <w:jc w:val="left"/>
        <w:rPr>
          <w:rFonts w:ascii="宋体" w:hAnsi="宋体"/>
          <w:color w:val="auto"/>
          <w:sz w:val="24"/>
        </w:rPr>
      </w:pPr>
      <w:r>
        <w:rPr>
          <w:rFonts w:hint="eastAsia" w:ascii="宋体" w:hAnsi="宋体"/>
          <w:color w:val="auto"/>
          <w:sz w:val="24"/>
        </w:rPr>
        <w:t>法定代表人签字或者加盖个人私章：XXXX</w:t>
      </w:r>
    </w:p>
    <w:p w14:paraId="17827704">
      <w:pPr>
        <w:ind w:firstLine="480" w:firstLineChars="200"/>
        <w:jc w:val="left"/>
        <w:rPr>
          <w:rFonts w:ascii="宋体" w:hAnsi="宋体"/>
          <w:color w:val="auto"/>
          <w:sz w:val="24"/>
        </w:rPr>
      </w:pPr>
      <w:r>
        <w:rPr>
          <w:rFonts w:hint="eastAsia" w:ascii="宋体" w:hAnsi="宋体"/>
          <w:color w:val="auto"/>
          <w:sz w:val="24"/>
        </w:rPr>
        <w:t>授权代表签字：XXXX</w:t>
      </w:r>
    </w:p>
    <w:p w14:paraId="507D352E">
      <w:pPr>
        <w:ind w:firstLine="480" w:firstLineChars="200"/>
        <w:jc w:val="left"/>
        <w:rPr>
          <w:rFonts w:ascii="宋体" w:hAnsi="宋体"/>
          <w:color w:val="auto"/>
          <w:sz w:val="24"/>
        </w:rPr>
      </w:pPr>
      <w:r>
        <w:rPr>
          <w:rFonts w:hint="eastAsia" w:ascii="宋体" w:hAnsi="宋体"/>
          <w:color w:val="auto"/>
          <w:sz w:val="24"/>
        </w:rPr>
        <w:t>供应商名称：XXXX（盖章）</w:t>
      </w:r>
    </w:p>
    <w:p w14:paraId="73F38893">
      <w:pPr>
        <w:ind w:firstLine="480" w:firstLineChars="200"/>
        <w:jc w:val="left"/>
        <w:rPr>
          <w:rFonts w:ascii="宋体" w:hAnsi="宋体"/>
          <w:color w:val="auto"/>
          <w:sz w:val="24"/>
        </w:rPr>
      </w:pPr>
      <w:r>
        <w:rPr>
          <w:rFonts w:hint="eastAsia" w:ascii="宋体" w:hAnsi="宋体"/>
          <w:color w:val="auto"/>
          <w:sz w:val="24"/>
        </w:rPr>
        <w:t>日    期：XXX年XXX月XXX日</w:t>
      </w:r>
    </w:p>
    <w:p w14:paraId="18528783">
      <w:pPr>
        <w:jc w:val="center"/>
        <w:rPr>
          <w:rFonts w:ascii="宋体" w:hAnsi="宋体"/>
          <w:bCs/>
          <w:color w:val="auto"/>
          <w:sz w:val="30"/>
          <w:szCs w:val="30"/>
        </w:rPr>
      </w:pPr>
    </w:p>
    <w:p w14:paraId="1A02EEFB">
      <w:pPr>
        <w:spacing w:line="400" w:lineRule="exact"/>
        <w:rPr>
          <w:color w:val="auto"/>
          <w:sz w:val="32"/>
        </w:rPr>
      </w:pPr>
    </w:p>
    <w:p w14:paraId="56632C01">
      <w:pPr>
        <w:jc w:val="center"/>
        <w:rPr>
          <w:b/>
          <w:color w:val="auto"/>
          <w:sz w:val="32"/>
          <w:szCs w:val="32"/>
        </w:rPr>
      </w:pPr>
      <w:r>
        <w:rPr>
          <w:rFonts w:hint="eastAsia"/>
          <w:b/>
          <w:color w:val="auto"/>
          <w:sz w:val="32"/>
          <w:szCs w:val="32"/>
        </w:rPr>
        <w:br w:type="page"/>
      </w:r>
      <w:r>
        <w:rPr>
          <w:rFonts w:hint="eastAsia"/>
          <w:b/>
          <w:color w:val="auto"/>
          <w:sz w:val="32"/>
          <w:szCs w:val="32"/>
        </w:rPr>
        <w:t>四、报价函</w:t>
      </w:r>
    </w:p>
    <w:p w14:paraId="60100699">
      <w:pPr>
        <w:spacing w:line="360" w:lineRule="auto"/>
        <w:rPr>
          <w:rFonts w:ascii="宋体" w:hAnsi="宋体"/>
          <w:color w:val="auto"/>
          <w:sz w:val="24"/>
        </w:rPr>
      </w:pPr>
    </w:p>
    <w:p w14:paraId="3E606F68">
      <w:pPr>
        <w:spacing w:line="360" w:lineRule="auto"/>
        <w:rPr>
          <w:rFonts w:ascii="宋体" w:hAnsi="宋体"/>
          <w:color w:val="auto"/>
          <w:sz w:val="24"/>
        </w:rPr>
      </w:pPr>
      <w:r>
        <w:rPr>
          <w:rFonts w:hint="eastAsia" w:ascii="宋体" w:hAnsi="宋体"/>
          <w:color w:val="auto"/>
          <w:sz w:val="24"/>
        </w:rPr>
        <w:t>XXX（采购代理机构名称）：</w:t>
      </w:r>
    </w:p>
    <w:p w14:paraId="6EC1DD06">
      <w:pP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1.我方全面研究了“XXXXXX”项目谈判文件（项目编号：XXXX），决定参加贵单位组织的本项目谈判采购。</w:t>
      </w:r>
    </w:p>
    <w:p w14:paraId="1EEBA1E1">
      <w:pPr>
        <w:spacing w:line="360" w:lineRule="auto"/>
        <w:ind w:firstLine="480" w:firstLineChars="200"/>
        <w:jc w:val="left"/>
        <w:rPr>
          <w:rFonts w:ascii="宋体" w:hAnsi="宋体"/>
          <w:color w:val="auto"/>
          <w:sz w:val="24"/>
        </w:rPr>
      </w:pPr>
      <w:r>
        <w:rPr>
          <w:rFonts w:hint="eastAsia" w:ascii="宋体" w:hAnsi="宋体"/>
          <w:color w:val="auto"/>
          <w:sz w:val="24"/>
        </w:rPr>
        <w:t>2.我方自愿按照谈判文件规定的各项要求向采购人提供所需</w:t>
      </w:r>
      <w:r>
        <w:rPr>
          <w:rFonts w:hint="eastAsia" w:ascii="宋体" w:hAnsi="宋体"/>
          <w:color w:val="auto"/>
          <w:sz w:val="24"/>
          <w:lang w:val="en-US" w:eastAsia="zh-CN"/>
        </w:rPr>
        <w:t>货物</w:t>
      </w:r>
      <w:r>
        <w:rPr>
          <w:rFonts w:hint="eastAsia" w:ascii="宋体" w:hAnsi="宋体"/>
          <w:color w:val="auto"/>
          <w:sz w:val="24"/>
        </w:rPr>
        <w:t>，报价为</w:t>
      </w:r>
      <w:r>
        <w:rPr>
          <w:rFonts w:hint="eastAsia" w:ascii="宋体" w:hAnsi="宋体"/>
          <w:color w:val="auto"/>
          <w:sz w:val="24"/>
          <w:lang w:val="en-US" w:eastAsia="zh-CN"/>
        </w:rPr>
        <w:t>按照最高单价限价下浮XX.XX%（保留2位小数）</w:t>
      </w:r>
      <w:r>
        <w:rPr>
          <w:rFonts w:hint="eastAsia" w:ascii="宋体" w:hAnsi="宋体"/>
          <w:color w:val="auto"/>
          <w:sz w:val="24"/>
        </w:rPr>
        <w:t>。</w:t>
      </w:r>
    </w:p>
    <w:p w14:paraId="0ACDB42C">
      <w:pPr>
        <w:spacing w:line="360" w:lineRule="auto"/>
        <w:ind w:firstLine="480" w:firstLineChars="200"/>
        <w:jc w:val="left"/>
        <w:rPr>
          <w:rFonts w:ascii="宋体" w:hAnsi="宋体"/>
          <w:color w:val="auto"/>
          <w:sz w:val="24"/>
        </w:rPr>
      </w:pPr>
      <w:r>
        <w:rPr>
          <w:rFonts w:hint="eastAsia" w:ascii="宋体" w:hAnsi="宋体"/>
          <w:color w:val="auto"/>
          <w:sz w:val="24"/>
        </w:rPr>
        <w:t>3.一旦我方成交，我方将严格履行政府采购合同规定的责任和义务。</w:t>
      </w:r>
    </w:p>
    <w:p w14:paraId="10EDAD11">
      <w:pPr>
        <w:spacing w:line="360" w:lineRule="auto"/>
        <w:ind w:firstLine="480" w:firstLineChars="200"/>
        <w:jc w:val="left"/>
        <w:rPr>
          <w:rFonts w:ascii="宋体" w:hAnsi="宋体"/>
          <w:color w:val="auto"/>
          <w:sz w:val="24"/>
        </w:rPr>
      </w:pPr>
      <w:r>
        <w:rPr>
          <w:rFonts w:hint="eastAsia" w:ascii="宋体" w:hAnsi="宋体"/>
          <w:color w:val="auto"/>
          <w:sz w:val="24"/>
        </w:rPr>
        <w:t>4.我方同意本谈判文件执行《四川省公共资源交易领域严重失信联合惩戒实施办法》(川发改信用规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2018]1614号)对我方可能存在的失信行为进行惩戒。</w:t>
      </w:r>
    </w:p>
    <w:p w14:paraId="029DC704">
      <w:pPr>
        <w:spacing w:line="360" w:lineRule="auto"/>
        <w:ind w:firstLine="480" w:firstLineChars="200"/>
        <w:jc w:val="left"/>
        <w:rPr>
          <w:rFonts w:ascii="宋体" w:hAnsi="宋体"/>
          <w:color w:val="auto"/>
          <w:sz w:val="24"/>
        </w:rPr>
      </w:pPr>
      <w:r>
        <w:rPr>
          <w:rFonts w:hint="eastAsia" w:ascii="宋体" w:hAnsi="宋体"/>
          <w:color w:val="auto"/>
          <w:sz w:val="24"/>
        </w:rPr>
        <w:t>5.我方为本项目提交的响应文件正本1份，副本</w:t>
      </w:r>
      <w:r>
        <w:rPr>
          <w:rFonts w:hint="eastAsia" w:ascii="宋体" w:hAnsi="宋体"/>
          <w:color w:val="auto"/>
          <w:sz w:val="24"/>
          <w:lang w:val="en-US" w:eastAsia="zh-CN"/>
        </w:rPr>
        <w:t>2</w:t>
      </w:r>
      <w:r>
        <w:rPr>
          <w:rFonts w:hint="eastAsia" w:ascii="宋体" w:hAnsi="宋体"/>
          <w:color w:val="auto"/>
          <w:sz w:val="24"/>
        </w:rPr>
        <w:t>份，用于谈判报价。</w:t>
      </w:r>
    </w:p>
    <w:p w14:paraId="388263AE">
      <w:pPr>
        <w:spacing w:line="360" w:lineRule="auto"/>
        <w:ind w:firstLine="480" w:firstLineChars="200"/>
        <w:jc w:val="left"/>
        <w:rPr>
          <w:rFonts w:ascii="宋体" w:hAnsi="宋体"/>
          <w:color w:val="auto"/>
          <w:sz w:val="24"/>
        </w:rPr>
      </w:pPr>
      <w:r>
        <w:rPr>
          <w:rFonts w:hint="eastAsia" w:ascii="宋体" w:hAnsi="宋体"/>
          <w:color w:val="auto"/>
          <w:sz w:val="24"/>
        </w:rPr>
        <w:t>6.我方愿意提供贵单位可能另外要求的，与谈判报价有关的文件资料，并保证我方已提供和将要提供的文件资料是真实、准确的。</w:t>
      </w:r>
    </w:p>
    <w:p w14:paraId="192195B1">
      <w:pPr>
        <w:spacing w:line="360" w:lineRule="auto"/>
        <w:ind w:firstLine="480" w:firstLineChars="200"/>
        <w:jc w:val="left"/>
        <w:rPr>
          <w:color w:val="auto"/>
          <w:sz w:val="24"/>
        </w:rPr>
      </w:pPr>
      <w:r>
        <w:rPr>
          <w:rFonts w:hint="eastAsia" w:ascii="宋体" w:hAnsi="宋体"/>
          <w:color w:val="auto"/>
          <w:sz w:val="24"/>
        </w:rPr>
        <w:t>7.本次谈判，我方递交的响应文件有效期为</w:t>
      </w:r>
      <w:r>
        <w:rPr>
          <w:rFonts w:hint="eastAsia"/>
          <w:color w:val="auto"/>
          <w:sz w:val="24"/>
        </w:rPr>
        <w:t>采购文件规定起算之日起</w:t>
      </w:r>
      <w:r>
        <w:rPr>
          <w:rFonts w:hint="eastAsia" w:ascii="宋体" w:hAnsi="宋体"/>
          <w:color w:val="auto"/>
          <w:sz w:val="24"/>
          <w:lang w:val="en-US" w:eastAsia="zh-CN"/>
        </w:rPr>
        <w:t>60</w:t>
      </w:r>
      <w:r>
        <w:rPr>
          <w:rFonts w:hint="eastAsia"/>
          <w:color w:val="auto"/>
          <w:sz w:val="24"/>
        </w:rPr>
        <w:t>天。</w:t>
      </w:r>
    </w:p>
    <w:p w14:paraId="4DB2A915">
      <w:pPr>
        <w:adjustRightInd w:val="0"/>
        <w:spacing w:line="400" w:lineRule="exact"/>
        <w:ind w:firstLine="480" w:firstLineChars="200"/>
        <w:jc w:val="left"/>
        <w:rPr>
          <w:rFonts w:ascii="宋体" w:hAnsi="宋体"/>
          <w:color w:val="auto"/>
          <w:sz w:val="24"/>
        </w:rPr>
      </w:pPr>
    </w:p>
    <w:p w14:paraId="7489BF33">
      <w:pPr>
        <w:adjustRightInd w:val="0"/>
        <w:spacing w:line="400" w:lineRule="exact"/>
        <w:ind w:firstLine="480" w:firstLineChars="200"/>
        <w:jc w:val="left"/>
        <w:rPr>
          <w:rFonts w:ascii="宋体" w:hAnsi="宋体"/>
          <w:color w:val="auto"/>
          <w:sz w:val="24"/>
        </w:rPr>
      </w:pPr>
    </w:p>
    <w:p w14:paraId="7E1D7512">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94B7665">
      <w:pP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14:paraId="6D02E4E6">
      <w:pPr>
        <w:spacing w:line="400" w:lineRule="exact"/>
        <w:ind w:firstLine="470" w:firstLineChars="196"/>
        <w:rPr>
          <w:rFonts w:ascii="宋体" w:hAnsi="宋体"/>
          <w:color w:val="auto"/>
          <w:sz w:val="24"/>
        </w:rPr>
      </w:pPr>
      <w:r>
        <w:rPr>
          <w:rFonts w:hint="eastAsia" w:ascii="宋体" w:hAnsi="宋体"/>
          <w:color w:val="auto"/>
          <w:sz w:val="24"/>
        </w:rPr>
        <w:t>通讯地址：XXX</w:t>
      </w:r>
    </w:p>
    <w:p w14:paraId="5624C9E9">
      <w:pPr>
        <w:spacing w:line="400" w:lineRule="exact"/>
        <w:ind w:firstLine="470" w:firstLineChars="196"/>
        <w:rPr>
          <w:rFonts w:ascii="宋体" w:hAnsi="宋体"/>
          <w:color w:val="auto"/>
          <w:sz w:val="24"/>
        </w:rPr>
      </w:pPr>
      <w:r>
        <w:rPr>
          <w:rFonts w:hint="eastAsia" w:ascii="宋体" w:hAnsi="宋体"/>
          <w:color w:val="auto"/>
          <w:sz w:val="24"/>
        </w:rPr>
        <w:t>邮政编码：XXX</w:t>
      </w:r>
    </w:p>
    <w:p w14:paraId="1F129388">
      <w:pPr>
        <w:spacing w:line="400" w:lineRule="exact"/>
        <w:ind w:firstLine="470" w:firstLineChars="196"/>
        <w:rPr>
          <w:rFonts w:ascii="宋体" w:hAnsi="宋体"/>
          <w:color w:val="auto"/>
          <w:sz w:val="24"/>
        </w:rPr>
      </w:pPr>
      <w:r>
        <w:rPr>
          <w:rFonts w:hint="eastAsia" w:ascii="宋体" w:hAnsi="宋体"/>
          <w:color w:val="auto"/>
          <w:sz w:val="24"/>
        </w:rPr>
        <w:t>联系电话：XXX</w:t>
      </w:r>
    </w:p>
    <w:p w14:paraId="372AC73C">
      <w:pPr>
        <w:spacing w:line="400" w:lineRule="exact"/>
        <w:ind w:firstLine="470" w:firstLineChars="196"/>
        <w:rPr>
          <w:rFonts w:ascii="宋体" w:hAnsi="宋体"/>
          <w:color w:val="auto"/>
          <w:sz w:val="24"/>
        </w:rPr>
      </w:pPr>
      <w:r>
        <w:rPr>
          <w:rFonts w:hint="eastAsia" w:ascii="宋体" w:hAnsi="宋体"/>
          <w:color w:val="auto"/>
          <w:sz w:val="24"/>
        </w:rPr>
        <w:t>传    真：XXX</w:t>
      </w:r>
    </w:p>
    <w:p w14:paraId="1EE0AA64">
      <w:pPr>
        <w:spacing w:line="400" w:lineRule="exact"/>
        <w:ind w:firstLine="470" w:firstLineChars="196"/>
        <w:rPr>
          <w:color w:val="auto"/>
          <w:sz w:val="24"/>
        </w:rPr>
      </w:pPr>
      <w:r>
        <w:rPr>
          <w:rFonts w:hint="eastAsia" w:ascii="宋体" w:hAnsi="宋体"/>
          <w:color w:val="auto"/>
          <w:sz w:val="24"/>
        </w:rPr>
        <w:t>日    期：XXX年XXX月XXX日</w:t>
      </w:r>
    </w:p>
    <w:p w14:paraId="743147D5">
      <w:pPr>
        <w:jc w:val="center"/>
        <w:rPr>
          <w:rFonts w:ascii="宋体" w:hAnsi="宋体"/>
          <w:color w:val="auto"/>
          <w:sz w:val="24"/>
        </w:rPr>
      </w:pPr>
    </w:p>
    <w:p w14:paraId="2F231F46">
      <w:pPr>
        <w:rPr>
          <w:color w:val="auto"/>
        </w:rPr>
      </w:pPr>
    </w:p>
    <w:p w14:paraId="40305031">
      <w:pPr>
        <w:jc w:val="center"/>
        <w:rPr>
          <w:rFonts w:ascii="宋体" w:hAnsi="宋体"/>
          <w:color w:val="auto"/>
          <w:sz w:val="24"/>
        </w:rPr>
      </w:pPr>
    </w:p>
    <w:p w14:paraId="2054073F">
      <w:pPr>
        <w:jc w:val="center"/>
        <w:rPr>
          <w:b/>
          <w:color w:val="auto"/>
          <w:sz w:val="32"/>
          <w:szCs w:val="32"/>
        </w:rPr>
      </w:pPr>
    </w:p>
    <w:p w14:paraId="14C35258">
      <w:pPr>
        <w:rPr>
          <w:color w:val="auto"/>
          <w:sz w:val="36"/>
          <w:szCs w:val="36"/>
        </w:rPr>
        <w:sectPr>
          <w:pgSz w:w="11906" w:h="16840"/>
          <w:pgMar w:top="1440" w:right="1800" w:bottom="1440" w:left="1800" w:header="851" w:footer="992" w:gutter="0"/>
          <w:pgNumType w:fmt="decimal"/>
          <w:cols w:space="720" w:num="1"/>
          <w:titlePg/>
          <w:docGrid w:type="linesAndChars" w:linePitch="312" w:charSpace="0"/>
        </w:sectPr>
      </w:pPr>
    </w:p>
    <w:p w14:paraId="7D0E704D">
      <w:pPr>
        <w:jc w:val="center"/>
        <w:rPr>
          <w:b/>
          <w:color w:val="auto"/>
          <w:sz w:val="32"/>
          <w:szCs w:val="32"/>
        </w:rPr>
      </w:pPr>
    </w:p>
    <w:p w14:paraId="249356B9">
      <w:pPr>
        <w:jc w:val="center"/>
        <w:rPr>
          <w:b/>
          <w:color w:val="auto"/>
          <w:sz w:val="32"/>
          <w:szCs w:val="32"/>
        </w:rPr>
      </w:pPr>
      <w:r>
        <w:rPr>
          <w:rFonts w:hint="eastAsia"/>
          <w:b/>
          <w:color w:val="auto"/>
          <w:sz w:val="32"/>
          <w:szCs w:val="32"/>
        </w:rPr>
        <w:t>五、报价一览表</w:t>
      </w:r>
    </w:p>
    <w:p w14:paraId="1B19F792">
      <w:pPr>
        <w:jc w:val="center"/>
        <w:rPr>
          <w:color w:val="auto"/>
          <w:sz w:val="28"/>
          <w:szCs w:val="28"/>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93"/>
        <w:gridCol w:w="2104"/>
        <w:gridCol w:w="1147"/>
        <w:gridCol w:w="1338"/>
        <w:gridCol w:w="2103"/>
        <w:gridCol w:w="1530"/>
        <w:gridCol w:w="1530"/>
      </w:tblGrid>
      <w:tr w14:paraId="477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vAlign w:val="center"/>
          </w:tcPr>
          <w:p w14:paraId="26D3FAAE">
            <w:pPr>
              <w:jc w:val="center"/>
              <w:rPr>
                <w:color w:val="auto"/>
                <w:sz w:val="24"/>
              </w:rPr>
            </w:pPr>
            <w:r>
              <w:rPr>
                <w:rFonts w:hint="eastAsia"/>
                <w:color w:val="auto"/>
                <w:sz w:val="24"/>
              </w:rPr>
              <w:t>序号</w:t>
            </w:r>
          </w:p>
        </w:tc>
        <w:tc>
          <w:tcPr>
            <w:tcW w:w="1593" w:type="dxa"/>
            <w:vAlign w:val="center"/>
          </w:tcPr>
          <w:p w14:paraId="120801ED">
            <w:pPr>
              <w:jc w:val="center"/>
              <w:rPr>
                <w:color w:val="auto"/>
                <w:sz w:val="24"/>
              </w:rPr>
            </w:pPr>
            <w:r>
              <w:rPr>
                <w:rFonts w:hint="eastAsia"/>
                <w:color w:val="auto"/>
                <w:sz w:val="24"/>
              </w:rPr>
              <w:t>货物（设备）名称</w:t>
            </w:r>
          </w:p>
        </w:tc>
        <w:tc>
          <w:tcPr>
            <w:tcW w:w="2104" w:type="dxa"/>
            <w:vAlign w:val="center"/>
          </w:tcPr>
          <w:p w14:paraId="7CEF3588">
            <w:pPr>
              <w:jc w:val="center"/>
              <w:rPr>
                <w:color w:val="auto"/>
                <w:sz w:val="24"/>
              </w:rPr>
            </w:pPr>
            <w:r>
              <w:rPr>
                <w:rFonts w:hint="eastAsia"/>
                <w:color w:val="auto"/>
                <w:sz w:val="24"/>
              </w:rPr>
              <w:t>规格型号</w:t>
            </w:r>
          </w:p>
        </w:tc>
        <w:tc>
          <w:tcPr>
            <w:tcW w:w="1147" w:type="dxa"/>
            <w:vAlign w:val="center"/>
          </w:tcPr>
          <w:p w14:paraId="4EB07CF1">
            <w:pPr>
              <w:jc w:val="center"/>
              <w:rPr>
                <w:color w:val="auto"/>
                <w:sz w:val="24"/>
              </w:rPr>
            </w:pPr>
            <w:r>
              <w:rPr>
                <w:rFonts w:hint="eastAsia"/>
                <w:color w:val="auto"/>
                <w:sz w:val="24"/>
                <w:lang w:val="en-US" w:eastAsia="zh-CN"/>
              </w:rPr>
              <w:t>品牌</w:t>
            </w:r>
          </w:p>
        </w:tc>
        <w:tc>
          <w:tcPr>
            <w:tcW w:w="1338" w:type="dxa"/>
            <w:vAlign w:val="center"/>
          </w:tcPr>
          <w:p w14:paraId="0B1C503D">
            <w:pPr>
              <w:jc w:val="center"/>
              <w:rPr>
                <w:color w:val="auto"/>
                <w:sz w:val="24"/>
              </w:rPr>
            </w:pPr>
            <w:r>
              <w:rPr>
                <w:rFonts w:hint="eastAsia"/>
                <w:color w:val="auto"/>
                <w:sz w:val="24"/>
              </w:rPr>
              <w:t>单价（元）</w:t>
            </w:r>
          </w:p>
        </w:tc>
        <w:tc>
          <w:tcPr>
            <w:tcW w:w="2103" w:type="dxa"/>
            <w:vAlign w:val="center"/>
          </w:tcPr>
          <w:p w14:paraId="23EB68A4">
            <w:pPr>
              <w:jc w:val="center"/>
              <w:rPr>
                <w:rFonts w:hint="default" w:eastAsia="宋体"/>
                <w:color w:val="auto"/>
                <w:sz w:val="24"/>
                <w:lang w:val="en-US" w:eastAsia="zh-CN"/>
              </w:rPr>
            </w:pPr>
            <w:r>
              <w:rPr>
                <w:rFonts w:hint="eastAsia"/>
                <w:color w:val="auto"/>
                <w:sz w:val="24"/>
                <w:lang w:val="en-US" w:eastAsia="zh-CN"/>
              </w:rPr>
              <w:t>供货期限</w:t>
            </w:r>
          </w:p>
        </w:tc>
        <w:tc>
          <w:tcPr>
            <w:tcW w:w="1530" w:type="dxa"/>
            <w:vAlign w:val="center"/>
          </w:tcPr>
          <w:p w14:paraId="4CDFAED0">
            <w:pPr>
              <w:ind w:left="355" w:hanging="355" w:hangingChars="148"/>
              <w:jc w:val="center"/>
              <w:rPr>
                <w:color w:val="auto"/>
                <w:sz w:val="24"/>
              </w:rPr>
            </w:pPr>
            <w:r>
              <w:rPr>
                <w:rFonts w:hint="eastAsia"/>
                <w:color w:val="auto"/>
                <w:sz w:val="24"/>
              </w:rPr>
              <w:t>是否属于</w:t>
            </w:r>
          </w:p>
          <w:p w14:paraId="71A48B93">
            <w:pPr>
              <w:ind w:left="355" w:hanging="355" w:hangingChars="148"/>
              <w:jc w:val="center"/>
              <w:rPr>
                <w:color w:val="auto"/>
                <w:sz w:val="24"/>
              </w:rPr>
            </w:pPr>
            <w:r>
              <w:rPr>
                <w:rFonts w:hint="eastAsia"/>
                <w:color w:val="auto"/>
                <w:sz w:val="24"/>
              </w:rPr>
              <w:t>进口产品</w:t>
            </w:r>
          </w:p>
        </w:tc>
        <w:tc>
          <w:tcPr>
            <w:tcW w:w="1530" w:type="dxa"/>
            <w:vAlign w:val="center"/>
          </w:tcPr>
          <w:p w14:paraId="743371A6">
            <w:pPr>
              <w:ind w:left="355" w:hanging="355" w:hangingChars="148"/>
              <w:jc w:val="center"/>
              <w:rPr>
                <w:color w:val="auto"/>
                <w:sz w:val="24"/>
              </w:rPr>
            </w:pPr>
            <w:r>
              <w:rPr>
                <w:rFonts w:hint="eastAsia"/>
                <w:color w:val="auto"/>
                <w:sz w:val="24"/>
              </w:rPr>
              <w:t>备注</w:t>
            </w:r>
          </w:p>
        </w:tc>
      </w:tr>
      <w:tr w14:paraId="04EE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6E7881EB">
            <w:pPr>
              <w:rPr>
                <w:color w:val="auto"/>
                <w:sz w:val="24"/>
              </w:rPr>
            </w:pPr>
          </w:p>
        </w:tc>
        <w:tc>
          <w:tcPr>
            <w:tcW w:w="1593" w:type="dxa"/>
          </w:tcPr>
          <w:p w14:paraId="35797340">
            <w:pPr>
              <w:rPr>
                <w:color w:val="auto"/>
                <w:sz w:val="24"/>
              </w:rPr>
            </w:pPr>
          </w:p>
        </w:tc>
        <w:tc>
          <w:tcPr>
            <w:tcW w:w="2104" w:type="dxa"/>
          </w:tcPr>
          <w:p w14:paraId="2172314D">
            <w:pPr>
              <w:rPr>
                <w:color w:val="auto"/>
                <w:sz w:val="24"/>
              </w:rPr>
            </w:pPr>
          </w:p>
        </w:tc>
        <w:tc>
          <w:tcPr>
            <w:tcW w:w="1147" w:type="dxa"/>
          </w:tcPr>
          <w:p w14:paraId="7B8EDDD8">
            <w:pPr>
              <w:rPr>
                <w:color w:val="auto"/>
                <w:sz w:val="24"/>
              </w:rPr>
            </w:pPr>
          </w:p>
        </w:tc>
        <w:tc>
          <w:tcPr>
            <w:tcW w:w="1338" w:type="dxa"/>
          </w:tcPr>
          <w:p w14:paraId="11C0113A">
            <w:pPr>
              <w:rPr>
                <w:color w:val="auto"/>
                <w:sz w:val="24"/>
              </w:rPr>
            </w:pPr>
          </w:p>
        </w:tc>
        <w:tc>
          <w:tcPr>
            <w:tcW w:w="2103" w:type="dxa"/>
          </w:tcPr>
          <w:p w14:paraId="3D4DE222">
            <w:pPr>
              <w:rPr>
                <w:color w:val="auto"/>
                <w:sz w:val="24"/>
              </w:rPr>
            </w:pPr>
          </w:p>
        </w:tc>
        <w:tc>
          <w:tcPr>
            <w:tcW w:w="1530" w:type="dxa"/>
          </w:tcPr>
          <w:p w14:paraId="4C3084C1">
            <w:pPr>
              <w:rPr>
                <w:color w:val="auto"/>
                <w:sz w:val="24"/>
              </w:rPr>
            </w:pPr>
          </w:p>
        </w:tc>
        <w:tc>
          <w:tcPr>
            <w:tcW w:w="1530" w:type="dxa"/>
          </w:tcPr>
          <w:p w14:paraId="76EC24D8">
            <w:pPr>
              <w:rPr>
                <w:color w:val="auto"/>
                <w:sz w:val="24"/>
              </w:rPr>
            </w:pPr>
          </w:p>
        </w:tc>
      </w:tr>
      <w:tr w14:paraId="19C8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07859B88">
            <w:pPr>
              <w:rPr>
                <w:color w:val="auto"/>
                <w:sz w:val="24"/>
              </w:rPr>
            </w:pPr>
          </w:p>
        </w:tc>
        <w:tc>
          <w:tcPr>
            <w:tcW w:w="1593" w:type="dxa"/>
          </w:tcPr>
          <w:p w14:paraId="477D1935">
            <w:pPr>
              <w:rPr>
                <w:color w:val="auto"/>
                <w:sz w:val="24"/>
              </w:rPr>
            </w:pPr>
          </w:p>
        </w:tc>
        <w:tc>
          <w:tcPr>
            <w:tcW w:w="2104" w:type="dxa"/>
          </w:tcPr>
          <w:p w14:paraId="34F24D86">
            <w:pPr>
              <w:rPr>
                <w:color w:val="auto"/>
                <w:sz w:val="24"/>
              </w:rPr>
            </w:pPr>
          </w:p>
        </w:tc>
        <w:tc>
          <w:tcPr>
            <w:tcW w:w="1147" w:type="dxa"/>
          </w:tcPr>
          <w:p w14:paraId="4152C21D">
            <w:pPr>
              <w:rPr>
                <w:color w:val="auto"/>
                <w:sz w:val="24"/>
              </w:rPr>
            </w:pPr>
          </w:p>
        </w:tc>
        <w:tc>
          <w:tcPr>
            <w:tcW w:w="1338" w:type="dxa"/>
          </w:tcPr>
          <w:p w14:paraId="1E1B33DF">
            <w:pPr>
              <w:rPr>
                <w:color w:val="auto"/>
                <w:sz w:val="24"/>
              </w:rPr>
            </w:pPr>
          </w:p>
        </w:tc>
        <w:tc>
          <w:tcPr>
            <w:tcW w:w="2103" w:type="dxa"/>
          </w:tcPr>
          <w:p w14:paraId="0305BF94">
            <w:pPr>
              <w:rPr>
                <w:color w:val="auto"/>
                <w:sz w:val="24"/>
              </w:rPr>
            </w:pPr>
          </w:p>
        </w:tc>
        <w:tc>
          <w:tcPr>
            <w:tcW w:w="1530" w:type="dxa"/>
          </w:tcPr>
          <w:p w14:paraId="017A1A23">
            <w:pPr>
              <w:rPr>
                <w:color w:val="auto"/>
                <w:sz w:val="24"/>
              </w:rPr>
            </w:pPr>
          </w:p>
        </w:tc>
        <w:tc>
          <w:tcPr>
            <w:tcW w:w="1530" w:type="dxa"/>
          </w:tcPr>
          <w:p w14:paraId="3DC7086F">
            <w:pPr>
              <w:rPr>
                <w:color w:val="auto"/>
                <w:sz w:val="24"/>
              </w:rPr>
            </w:pPr>
          </w:p>
        </w:tc>
      </w:tr>
      <w:tr w14:paraId="5D6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91" w:type="dxa"/>
          </w:tcPr>
          <w:p w14:paraId="01B88F13">
            <w:pPr>
              <w:rPr>
                <w:color w:val="auto"/>
                <w:sz w:val="24"/>
              </w:rPr>
            </w:pPr>
            <w:r>
              <w:rPr>
                <w:rFonts w:hint="eastAsia"/>
                <w:color w:val="auto"/>
                <w:sz w:val="32"/>
                <w:szCs w:val="24"/>
              </w:rPr>
              <w:t>.......</w:t>
            </w:r>
          </w:p>
        </w:tc>
        <w:tc>
          <w:tcPr>
            <w:tcW w:w="1593" w:type="dxa"/>
          </w:tcPr>
          <w:p w14:paraId="7E99F392">
            <w:pPr>
              <w:rPr>
                <w:color w:val="auto"/>
                <w:sz w:val="24"/>
              </w:rPr>
            </w:pPr>
          </w:p>
        </w:tc>
        <w:tc>
          <w:tcPr>
            <w:tcW w:w="2104" w:type="dxa"/>
          </w:tcPr>
          <w:p w14:paraId="34205D82">
            <w:pPr>
              <w:rPr>
                <w:color w:val="auto"/>
                <w:sz w:val="24"/>
              </w:rPr>
            </w:pPr>
          </w:p>
        </w:tc>
        <w:tc>
          <w:tcPr>
            <w:tcW w:w="1147" w:type="dxa"/>
          </w:tcPr>
          <w:p w14:paraId="17DA10A9">
            <w:pPr>
              <w:rPr>
                <w:color w:val="auto"/>
                <w:sz w:val="24"/>
              </w:rPr>
            </w:pPr>
          </w:p>
        </w:tc>
        <w:tc>
          <w:tcPr>
            <w:tcW w:w="1338" w:type="dxa"/>
          </w:tcPr>
          <w:p w14:paraId="35332D4E">
            <w:pPr>
              <w:rPr>
                <w:color w:val="auto"/>
                <w:sz w:val="24"/>
              </w:rPr>
            </w:pPr>
          </w:p>
        </w:tc>
        <w:tc>
          <w:tcPr>
            <w:tcW w:w="2103" w:type="dxa"/>
          </w:tcPr>
          <w:p w14:paraId="31E9E4D9">
            <w:pPr>
              <w:rPr>
                <w:color w:val="auto"/>
                <w:sz w:val="24"/>
              </w:rPr>
            </w:pPr>
          </w:p>
        </w:tc>
        <w:tc>
          <w:tcPr>
            <w:tcW w:w="1530" w:type="dxa"/>
          </w:tcPr>
          <w:p w14:paraId="5FC7879D">
            <w:pPr>
              <w:rPr>
                <w:color w:val="auto"/>
                <w:sz w:val="24"/>
              </w:rPr>
            </w:pPr>
          </w:p>
        </w:tc>
        <w:tc>
          <w:tcPr>
            <w:tcW w:w="1530" w:type="dxa"/>
          </w:tcPr>
          <w:p w14:paraId="20172185">
            <w:pPr>
              <w:rPr>
                <w:color w:val="auto"/>
                <w:sz w:val="24"/>
              </w:rPr>
            </w:pPr>
          </w:p>
        </w:tc>
      </w:tr>
      <w:tr w14:paraId="50CC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236" w:type="dxa"/>
            <w:gridSpan w:val="8"/>
            <w:vAlign w:val="center"/>
          </w:tcPr>
          <w:p w14:paraId="7EBD48A4">
            <w:pPr>
              <w:jc w:val="both"/>
              <w:rPr>
                <w:rFonts w:hint="default" w:eastAsia="宋体"/>
                <w:color w:val="auto"/>
                <w:sz w:val="24"/>
                <w:lang w:val="en-US" w:eastAsia="zh-CN"/>
              </w:rPr>
            </w:pPr>
            <w:r>
              <w:rPr>
                <w:rFonts w:hint="eastAsia"/>
                <w:color w:val="auto"/>
                <w:sz w:val="24"/>
                <w:lang w:val="en-US" w:eastAsia="zh-CN"/>
              </w:rPr>
              <w:t>下浮比例：XX.XX%（保留2位小数）</w:t>
            </w:r>
          </w:p>
        </w:tc>
      </w:tr>
    </w:tbl>
    <w:p w14:paraId="76B79DA3">
      <w:pPr>
        <w:ind w:firstLine="480" w:firstLineChars="200"/>
        <w:rPr>
          <w:color w:val="auto"/>
          <w:sz w:val="24"/>
        </w:rPr>
      </w:pPr>
      <w:r>
        <w:rPr>
          <w:rFonts w:hint="eastAsia"/>
          <w:color w:val="auto"/>
          <w:sz w:val="24"/>
        </w:rPr>
        <w:t>注: 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7C2692AB">
      <w:pPr>
        <w:ind w:firstLine="480" w:firstLineChars="200"/>
        <w:rPr>
          <w:rFonts w:hint="eastAsia"/>
          <w:color w:val="auto"/>
          <w:sz w:val="24"/>
        </w:rPr>
      </w:pPr>
      <w:r>
        <w:rPr>
          <w:rFonts w:hint="eastAsia"/>
          <w:color w:val="auto"/>
          <w:sz w:val="24"/>
        </w:rPr>
        <w:t>2.应完整填写产品的品牌和型号或项目内容。</w:t>
      </w:r>
    </w:p>
    <w:p w14:paraId="22D99138">
      <w:pPr>
        <w:ind w:firstLine="480" w:firstLineChars="200"/>
        <w:rPr>
          <w:rFonts w:hint="default" w:eastAsia="宋体"/>
          <w:color w:val="auto"/>
          <w:sz w:val="24"/>
          <w:lang w:val="en-US" w:eastAsia="zh-CN"/>
        </w:rPr>
      </w:pPr>
      <w:r>
        <w:rPr>
          <w:rFonts w:hint="eastAsia"/>
          <w:color w:val="auto"/>
          <w:sz w:val="24"/>
          <w:lang w:val="en-US" w:eastAsia="zh-CN"/>
        </w:rPr>
        <w:t>3.单价保留2位小数。</w:t>
      </w:r>
    </w:p>
    <w:p w14:paraId="2CC9B2F1">
      <w:pPr>
        <w:rPr>
          <w:color w:val="auto"/>
          <w:sz w:val="32"/>
        </w:rPr>
      </w:pPr>
    </w:p>
    <w:p w14:paraId="502F470C">
      <w:pPr>
        <w:adjustRightInd w:val="0"/>
        <w:spacing w:line="400" w:lineRule="exact"/>
        <w:ind w:firstLine="600" w:firstLineChars="250"/>
        <w:jc w:val="left"/>
        <w:rPr>
          <w:rFonts w:ascii="宋体" w:hAnsi="宋体"/>
          <w:color w:val="auto"/>
          <w:sz w:val="24"/>
        </w:rPr>
      </w:pPr>
      <w:r>
        <w:rPr>
          <w:rFonts w:hint="eastAsia" w:ascii="宋体" w:hAnsi="宋体"/>
          <w:color w:val="auto"/>
          <w:sz w:val="24"/>
        </w:rPr>
        <w:t>供应商名称：XXX（盖单位公章）</w:t>
      </w:r>
    </w:p>
    <w:p w14:paraId="33C80255">
      <w:pPr>
        <w:ind w:firstLine="616" w:firstLineChars="257"/>
        <w:rPr>
          <w:color w:val="auto"/>
          <w:sz w:val="24"/>
        </w:rPr>
      </w:pPr>
      <w:r>
        <w:rPr>
          <w:rFonts w:hint="eastAsia"/>
          <w:color w:val="auto"/>
          <w:sz w:val="24"/>
        </w:rPr>
        <w:t>法定代表人或授权代表（签字或盖章）：XXX</w:t>
      </w:r>
    </w:p>
    <w:p w14:paraId="70678FEC">
      <w:pPr>
        <w:ind w:firstLine="616" w:firstLineChars="257"/>
        <w:rPr>
          <w:color w:val="auto"/>
          <w:sz w:val="24"/>
        </w:rPr>
      </w:pPr>
      <w:r>
        <w:rPr>
          <w:rFonts w:hint="eastAsia"/>
          <w:color w:val="auto"/>
          <w:sz w:val="24"/>
        </w:rPr>
        <w:t xml:space="preserve">日      期：XXX年XXX月XXX日 </w:t>
      </w:r>
    </w:p>
    <w:p w14:paraId="2C094BC9">
      <w:pPr>
        <w:rPr>
          <w:color w:val="auto"/>
          <w:sz w:val="28"/>
          <w:szCs w:val="28"/>
        </w:rPr>
        <w:sectPr>
          <w:footerReference r:id="rId8" w:type="default"/>
          <w:pgSz w:w="16838" w:h="11906" w:orient="landscape"/>
          <w:pgMar w:top="1797" w:right="3118" w:bottom="935" w:left="1440" w:header="720" w:footer="720" w:gutter="0"/>
          <w:pgNumType w:fmt="decimal"/>
          <w:cols w:space="720" w:num="1"/>
          <w:docGrid w:linePitch="312" w:charSpace="0"/>
        </w:sectPr>
      </w:pPr>
    </w:p>
    <w:p w14:paraId="1996BAEC">
      <w:pPr>
        <w:rPr>
          <w:color w:val="auto"/>
        </w:rPr>
      </w:pPr>
    </w:p>
    <w:p w14:paraId="1ED61589">
      <w:pPr>
        <w:jc w:val="center"/>
        <w:rPr>
          <w:rFonts w:ascii="宋体" w:hAnsi="宋体"/>
          <w:b/>
          <w:bCs/>
          <w:color w:val="auto"/>
          <w:sz w:val="32"/>
          <w:szCs w:val="32"/>
        </w:rPr>
      </w:pPr>
      <w:r>
        <w:rPr>
          <w:rFonts w:hint="eastAsia" w:ascii="宋体" w:hAnsi="宋体"/>
          <w:b/>
          <w:bCs/>
          <w:color w:val="auto"/>
          <w:sz w:val="32"/>
          <w:szCs w:val="32"/>
        </w:rPr>
        <w:t>六、中小企业声明函</w:t>
      </w:r>
    </w:p>
    <w:p w14:paraId="5392E33A">
      <w:pPr>
        <w:widowControl/>
        <w:spacing w:beforeAutospacing="1" w:afterAutospacing="1" w:line="360" w:lineRule="auto"/>
        <w:ind w:firstLine="480" w:firstLineChars="200"/>
        <w:jc w:val="left"/>
        <w:rPr>
          <w:rFonts w:ascii="ˎ̥" w:hAnsi="ˎ̥" w:cs="宋体"/>
          <w:color w:val="auto"/>
          <w:kern w:val="0"/>
          <w:sz w:val="24"/>
        </w:rPr>
      </w:pPr>
    </w:p>
    <w:p w14:paraId="1589CEE4">
      <w:pPr>
        <w:spacing w:line="360" w:lineRule="auto"/>
        <w:ind w:firstLine="480" w:firstLineChars="200"/>
        <w:rPr>
          <w:rFonts w:ascii="宋体" w:hAnsi="宋体" w:cs="宋体"/>
          <w:color w:val="auto"/>
          <w:spacing w:val="6"/>
          <w:sz w:val="24"/>
        </w:rPr>
      </w:pPr>
      <w:r>
        <w:rPr>
          <w:rFonts w:hint="eastAsia" w:ascii="ˎ̥" w:hAnsi="ˎ̥" w:cs="宋体"/>
          <w:color w:val="auto"/>
          <w:kern w:val="0"/>
          <w:sz w:val="24"/>
        </w:rPr>
        <w:t>　　</w:t>
      </w:r>
      <w:r>
        <w:rPr>
          <w:rFonts w:hint="eastAsia" w:ascii="宋体" w:hAnsi="宋体" w:cs="宋体"/>
          <w:color w:val="auto"/>
          <w:spacing w:val="6"/>
          <w:sz w:val="24"/>
        </w:rPr>
        <w:t>本公司（联合体）郑重声明，根据《政府采购促进中小企业发展管理办法》（财库</w:t>
      </w:r>
      <w:r>
        <w:rPr>
          <w:rFonts w:ascii="宋体" w:hAnsi="宋体" w:cs="宋体"/>
          <w:color w:val="auto"/>
          <w:spacing w:val="6"/>
          <w:sz w:val="24"/>
        </w:rPr>
        <w:t xml:space="preserve"> </w:t>
      </w:r>
      <w:r>
        <w:rPr>
          <w:rFonts w:hint="eastAsia" w:ascii="宋体" w:hAnsi="宋体" w:cs="宋体"/>
          <w:color w:val="auto"/>
          <w:spacing w:val="6"/>
          <w:sz w:val="24"/>
        </w:rPr>
        <w:t>﹝</w:t>
      </w:r>
      <w:r>
        <w:rPr>
          <w:rFonts w:ascii="宋体" w:hAnsi="宋体" w:cs="宋体"/>
          <w:color w:val="auto"/>
          <w:spacing w:val="6"/>
          <w:sz w:val="24"/>
        </w:rPr>
        <w:t>2020</w:t>
      </w:r>
      <w:r>
        <w:rPr>
          <w:rFonts w:hint="eastAsia" w:ascii="宋体" w:hAnsi="宋体" w:cs="宋体"/>
          <w:color w:val="auto"/>
          <w:spacing w:val="6"/>
          <w:sz w:val="24"/>
        </w:rPr>
        <w:t>﹞</w:t>
      </w:r>
      <w:r>
        <w:rPr>
          <w:rFonts w:ascii="宋体" w:hAnsi="宋体" w:cs="宋体"/>
          <w:color w:val="auto"/>
          <w:spacing w:val="6"/>
          <w:sz w:val="24"/>
        </w:rPr>
        <w:t>46</w:t>
      </w:r>
      <w:r>
        <w:rPr>
          <w:rFonts w:hint="eastAsia" w:ascii="宋体" w:hAnsi="宋体" w:cs="宋体"/>
          <w:color w:val="auto"/>
          <w:spacing w:val="6"/>
          <w:sz w:val="24"/>
        </w:rPr>
        <w:t>号）的规定，本公司（联合体）参加</w:t>
      </w:r>
      <w:r>
        <w:rPr>
          <w:rFonts w:hint="eastAsia" w:ascii="宋体" w:hAnsi="宋体" w:cs="宋体"/>
          <w:color w:val="auto"/>
          <w:spacing w:val="6"/>
          <w:sz w:val="24"/>
          <w:u w:val="single"/>
        </w:rPr>
        <w:t>（单位名称）</w:t>
      </w:r>
      <w:r>
        <w:rPr>
          <w:rFonts w:hint="eastAsia" w:ascii="宋体" w:hAnsi="宋体" w:cs="宋体"/>
          <w:color w:val="auto"/>
          <w:spacing w:val="6"/>
          <w:sz w:val="24"/>
        </w:rPr>
        <w:t>的</w:t>
      </w:r>
      <w:r>
        <w:rPr>
          <w:rFonts w:hint="eastAsia" w:ascii="宋体" w:hAnsi="宋体" w:cs="宋体"/>
          <w:color w:val="auto"/>
          <w:spacing w:val="6"/>
          <w:sz w:val="24"/>
          <w:u w:val="single"/>
        </w:rPr>
        <w:t>（项目名称）</w:t>
      </w:r>
      <w:r>
        <w:rPr>
          <w:rFonts w:hint="eastAsia" w:ascii="宋体" w:hAnsi="宋体" w:cs="宋体"/>
          <w:color w:val="auto"/>
          <w:spacing w:val="6"/>
          <w:sz w:val="24"/>
        </w:rPr>
        <w:t>采购活动，提供的货物全部由符合政策要求的中小企业制造。相关企业（含联合体中的中小企业、签订分包意向协议的中小企业）的具体情况如下：</w:t>
      </w:r>
      <w:r>
        <w:rPr>
          <w:rFonts w:ascii="宋体" w:hAnsi="宋体" w:cs="宋体"/>
          <w:color w:val="auto"/>
          <w:spacing w:val="6"/>
          <w:sz w:val="24"/>
        </w:rPr>
        <w:t xml:space="preserve"> </w:t>
      </w:r>
    </w:p>
    <w:p w14:paraId="1C2316E7">
      <w:pPr>
        <w:numPr>
          <w:ilvl w:val="0"/>
          <w:numId w:val="2"/>
        </w:numPr>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r>
        <w:rPr>
          <w:rFonts w:ascii="宋体" w:hAnsi="宋体" w:cs="宋体"/>
          <w:color w:val="auto"/>
          <w:spacing w:val="6"/>
          <w:sz w:val="24"/>
        </w:rPr>
        <w:t xml:space="preserve"> </w:t>
      </w:r>
    </w:p>
    <w:p w14:paraId="0A617FD3">
      <w:pPr>
        <w:spacing w:line="360" w:lineRule="auto"/>
        <w:ind w:firstLine="504" w:firstLineChars="200"/>
        <w:rPr>
          <w:rFonts w:ascii="宋体" w:hAnsi="宋体" w:cs="宋体"/>
          <w:color w:val="auto"/>
          <w:kern w:val="0"/>
          <w:sz w:val="24"/>
          <w:szCs w:val="24"/>
        </w:rPr>
      </w:pPr>
      <w:r>
        <w:rPr>
          <w:rFonts w:hint="eastAsia" w:ascii="宋体" w:hAnsi="宋体" w:cs="宋体"/>
          <w:color w:val="auto"/>
          <w:spacing w:val="6"/>
          <w:sz w:val="24"/>
          <w:u w:val="none"/>
          <w:lang w:val="en-US" w:eastAsia="zh-CN"/>
        </w:rPr>
        <w:t>2.</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537FF55A">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w:t>
      </w:r>
    </w:p>
    <w:p w14:paraId="084DDE3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558B0346">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本企业对上述声明内容的真实性负责。如有虚假，将依法承担相应责任。</w:t>
      </w:r>
    </w:p>
    <w:p w14:paraId="23B19BAA">
      <w:pPr>
        <w:spacing w:line="360" w:lineRule="auto"/>
        <w:rPr>
          <w:rFonts w:ascii="宋体" w:hAnsi="宋体" w:cs="宋体"/>
          <w:color w:val="auto"/>
          <w:kern w:val="0"/>
          <w:sz w:val="24"/>
          <w:szCs w:val="24"/>
        </w:rPr>
      </w:pPr>
    </w:p>
    <w:p w14:paraId="767D1FBC">
      <w:pPr>
        <w:spacing w:line="360" w:lineRule="auto"/>
        <w:rPr>
          <w:rFonts w:ascii="宋体" w:hAnsi="宋体" w:cs="宋体"/>
          <w:color w:val="auto"/>
          <w:kern w:val="0"/>
          <w:sz w:val="24"/>
          <w:szCs w:val="24"/>
        </w:rPr>
      </w:pPr>
    </w:p>
    <w:p w14:paraId="3EA25E57">
      <w:pPr>
        <w:spacing w:line="360" w:lineRule="auto"/>
        <w:rPr>
          <w:rFonts w:ascii="宋体" w:hAnsi="宋体" w:cs="宋体"/>
          <w:color w:val="auto"/>
          <w:kern w:val="0"/>
          <w:sz w:val="24"/>
          <w:szCs w:val="24"/>
        </w:rPr>
      </w:pPr>
      <w:r>
        <w:rPr>
          <w:rFonts w:hint="eastAsia" w:ascii="宋体" w:hAnsi="宋体" w:cs="宋体"/>
          <w:color w:val="auto"/>
          <w:sz w:val="24"/>
          <w:szCs w:val="24"/>
          <w:lang w:bidi="ar"/>
        </w:rPr>
        <w:t>单位名称：XXXX（盖单位公章）</w:t>
      </w:r>
    </w:p>
    <w:p w14:paraId="73CCADEB">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日 期：</w:t>
      </w:r>
    </w:p>
    <w:p w14:paraId="7EA02957">
      <w:pPr>
        <w:spacing w:line="360" w:lineRule="auto"/>
        <w:rPr>
          <w:rFonts w:ascii="宋体" w:hAnsi="宋体" w:cs="宋体"/>
          <w:color w:val="auto"/>
          <w:kern w:val="0"/>
          <w:sz w:val="24"/>
          <w:szCs w:val="24"/>
        </w:rPr>
      </w:pPr>
    </w:p>
    <w:p w14:paraId="3B51EE31">
      <w:pPr>
        <w:spacing w:line="360" w:lineRule="auto"/>
        <w:ind w:firstLine="480" w:firstLineChars="200"/>
        <w:rPr>
          <w:color w:val="auto"/>
          <w:sz w:val="32"/>
          <w:szCs w:val="32"/>
        </w:rPr>
      </w:pPr>
      <w:r>
        <w:rPr>
          <w:rFonts w:hint="eastAsia" w:ascii="宋体" w:hAnsi="宋体" w:cs="宋体"/>
          <w:color w:val="auto"/>
          <w:kern w:val="0"/>
          <w:sz w:val="24"/>
          <w:szCs w:val="24"/>
          <w:lang w:bidi="ar"/>
        </w:rPr>
        <w:t>注：①从业人员、营业收入、资产总额填报上一年度数据，无上一年度数据的新成立企业可不填报；②此表供应商结合实际必填。</w:t>
      </w:r>
    </w:p>
    <w:p w14:paraId="139E1F51">
      <w:pPr>
        <w:spacing w:line="360" w:lineRule="auto"/>
        <w:ind w:firstLine="640" w:firstLineChars="200"/>
        <w:rPr>
          <w:color w:val="auto"/>
          <w:sz w:val="32"/>
          <w:szCs w:val="32"/>
        </w:rPr>
      </w:pPr>
    </w:p>
    <w:p w14:paraId="57223D1E">
      <w:pPr>
        <w:rPr>
          <w:color w:val="auto"/>
          <w:sz w:val="32"/>
          <w:szCs w:val="32"/>
        </w:rPr>
      </w:pPr>
    </w:p>
    <w:p w14:paraId="5EAB1038">
      <w:pPr>
        <w:rPr>
          <w:color w:val="auto"/>
          <w:sz w:val="32"/>
          <w:szCs w:val="32"/>
        </w:rPr>
      </w:pPr>
    </w:p>
    <w:p w14:paraId="5E87FFFF">
      <w:pPr>
        <w:rPr>
          <w:rFonts w:ascii="宋体" w:hAnsi="宋体"/>
          <w:b/>
          <w:bCs/>
          <w:color w:val="auto"/>
          <w:sz w:val="32"/>
          <w:szCs w:val="32"/>
        </w:rPr>
      </w:pPr>
    </w:p>
    <w:p w14:paraId="09D31B3B">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七、残疾人福利性单位声明函</w:t>
      </w:r>
    </w:p>
    <w:p w14:paraId="405FD013">
      <w:pPr>
        <w:widowControl/>
        <w:spacing w:before="100" w:beforeAutospacing="1" w:after="100" w:afterAutospacing="1" w:line="432" w:lineRule="auto"/>
        <w:jc w:val="left"/>
        <w:rPr>
          <w:rFonts w:ascii="ˎ̥" w:hAnsi="ˎ̥" w:cs="宋体"/>
          <w:color w:val="auto"/>
          <w:kern w:val="0"/>
          <w:sz w:val="24"/>
        </w:rPr>
      </w:pPr>
      <w:r>
        <w:rPr>
          <w:rFonts w:ascii="ˎ̥" w:hAnsi="ˎ̥" w:cs="宋体"/>
          <w:color w:val="auto"/>
          <w:kern w:val="0"/>
          <w:sz w:val="24"/>
        </w:rPr>
        <w:t> </w:t>
      </w:r>
    </w:p>
    <w:p w14:paraId="0D0370E6">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225A306">
      <w:pPr>
        <w:widowControl/>
        <w:spacing w:line="400" w:lineRule="exact"/>
        <w:ind w:firstLine="504" w:firstLineChars="200"/>
        <w:jc w:val="left"/>
        <w:rPr>
          <w:rFonts w:ascii="ˎ̥" w:hAnsi="ˎ̥" w:cs="宋体"/>
          <w:color w:val="auto"/>
          <w:kern w:val="0"/>
          <w:sz w:val="24"/>
        </w:rPr>
      </w:pPr>
      <w:r>
        <w:rPr>
          <w:rFonts w:hint="eastAsia" w:ascii="宋体" w:hAnsi="宋体"/>
          <w:color w:val="auto"/>
          <w:spacing w:val="6"/>
          <w:sz w:val="24"/>
        </w:rPr>
        <w:t>本单位对上述声明的真实性负责。如有虚假，将依法承担相应责任。</w:t>
      </w:r>
    </w:p>
    <w:p w14:paraId="1E6BAE76">
      <w:pPr>
        <w:widowControl/>
        <w:spacing w:line="400" w:lineRule="exact"/>
        <w:jc w:val="left"/>
        <w:rPr>
          <w:rFonts w:ascii="ˎ̥" w:hAnsi="ˎ̥" w:cs="宋体"/>
          <w:color w:val="auto"/>
          <w:kern w:val="0"/>
          <w:sz w:val="24"/>
        </w:rPr>
      </w:pPr>
    </w:p>
    <w:p w14:paraId="586FACBF">
      <w:pPr>
        <w:widowControl/>
        <w:spacing w:line="400" w:lineRule="exact"/>
        <w:jc w:val="left"/>
        <w:rPr>
          <w:rFonts w:ascii="ˎ̥" w:hAnsi="ˎ̥" w:cs="宋体"/>
          <w:color w:val="auto"/>
          <w:kern w:val="0"/>
          <w:sz w:val="24"/>
        </w:rPr>
      </w:pPr>
    </w:p>
    <w:p w14:paraId="2AAAE9CF">
      <w:pPr>
        <w:widowControl/>
        <w:spacing w:line="400" w:lineRule="exact"/>
        <w:jc w:val="left"/>
        <w:rPr>
          <w:rFonts w:ascii="ˎ̥" w:hAnsi="ˎ̥" w:cs="宋体"/>
          <w:color w:val="auto"/>
          <w:kern w:val="0"/>
          <w:sz w:val="24"/>
        </w:rPr>
      </w:pPr>
    </w:p>
    <w:p w14:paraId="45F8905C">
      <w:pPr>
        <w:widowControl/>
        <w:spacing w:line="400" w:lineRule="exact"/>
        <w:jc w:val="left"/>
        <w:rPr>
          <w:rFonts w:ascii="ˎ̥" w:hAnsi="ˎ̥" w:cs="宋体"/>
          <w:color w:val="auto"/>
          <w:kern w:val="0"/>
          <w:sz w:val="24"/>
        </w:rPr>
      </w:pPr>
    </w:p>
    <w:p w14:paraId="21A53086">
      <w:pPr>
        <w:widowControl/>
        <w:spacing w:line="400" w:lineRule="exact"/>
        <w:jc w:val="left"/>
        <w:rPr>
          <w:rFonts w:ascii="ˎ̥" w:hAnsi="ˎ̥" w:cs="宋体"/>
          <w:color w:val="auto"/>
          <w:kern w:val="0"/>
          <w:sz w:val="24"/>
        </w:rPr>
      </w:pPr>
      <w:r>
        <w:rPr>
          <w:rFonts w:hint="eastAsia" w:ascii="ˎ̥" w:hAnsi="ˎ̥" w:cs="宋体"/>
          <w:color w:val="auto"/>
          <w:kern w:val="0"/>
          <w:sz w:val="24"/>
        </w:rPr>
        <w:t>　　</w:t>
      </w:r>
    </w:p>
    <w:p w14:paraId="2EB67DD1">
      <w:pPr>
        <w:ind w:firstLine="480" w:firstLineChars="200"/>
        <w:jc w:val="left"/>
        <w:rPr>
          <w:rFonts w:ascii="宋体" w:hAnsi="宋体"/>
          <w:color w:val="auto"/>
          <w:sz w:val="24"/>
        </w:rPr>
      </w:pPr>
      <w:r>
        <w:rPr>
          <w:rFonts w:hint="eastAsia" w:ascii="宋体" w:hAnsi="宋体"/>
          <w:color w:val="auto"/>
          <w:sz w:val="24"/>
        </w:rPr>
        <w:t>单位名称：XXXX（盖单位公章）</w:t>
      </w:r>
    </w:p>
    <w:p w14:paraId="714BD3BC">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100F7E62">
      <w:pPr>
        <w:ind w:firstLine="480" w:firstLineChars="200"/>
        <w:jc w:val="left"/>
        <w:rPr>
          <w:rFonts w:ascii="宋体" w:hAnsi="宋体"/>
          <w:color w:val="auto"/>
          <w:sz w:val="24"/>
        </w:rPr>
      </w:pPr>
      <w:r>
        <w:rPr>
          <w:rFonts w:hint="eastAsia" w:ascii="宋体" w:hAnsi="宋体"/>
          <w:color w:val="auto"/>
          <w:sz w:val="24"/>
        </w:rPr>
        <w:t>日期：XXXX</w:t>
      </w:r>
    </w:p>
    <w:p w14:paraId="65BA7A4D">
      <w:pPr>
        <w:pStyle w:val="2"/>
        <w:keepNext w:val="0"/>
        <w:keepLines w:val="0"/>
        <w:rPr>
          <w:color w:val="auto"/>
          <w:sz w:val="32"/>
          <w:szCs w:val="32"/>
        </w:rPr>
      </w:pPr>
    </w:p>
    <w:p w14:paraId="2FE35EAC">
      <w:pPr>
        <w:rPr>
          <w:color w:val="auto"/>
          <w:sz w:val="32"/>
          <w:szCs w:val="32"/>
        </w:rPr>
      </w:pPr>
    </w:p>
    <w:p w14:paraId="15A65C26">
      <w:pPr>
        <w:pStyle w:val="3"/>
        <w:keepNext w:val="0"/>
        <w:keepLines w:val="0"/>
        <w:spacing w:line="400" w:lineRule="exact"/>
        <w:jc w:val="center"/>
        <w:rPr>
          <w:rFonts w:ascii="宋体" w:hAnsi="宋体"/>
          <w:b w:val="0"/>
          <w:bCs w:val="0"/>
          <w:color w:val="auto"/>
          <w:szCs w:val="28"/>
        </w:rPr>
      </w:pPr>
      <w:bookmarkStart w:id="89" w:name="_Toc436410128"/>
      <w:bookmarkStart w:id="90" w:name="_Toc436404119"/>
      <w:bookmarkStart w:id="91" w:name="_Toc436385991"/>
      <w:bookmarkStart w:id="92" w:name="_Toc427141347"/>
      <w:bookmarkStart w:id="93" w:name="_Toc436820889"/>
      <w:bookmarkStart w:id="94" w:name="_Toc428777949"/>
    </w:p>
    <w:p w14:paraId="2478F276">
      <w:pPr>
        <w:pStyle w:val="3"/>
        <w:keepNext w:val="0"/>
        <w:keepLines w:val="0"/>
        <w:spacing w:line="400" w:lineRule="exact"/>
        <w:jc w:val="center"/>
        <w:rPr>
          <w:rFonts w:ascii="宋体" w:hAnsi="宋体"/>
          <w:b w:val="0"/>
          <w:bCs w:val="0"/>
          <w:color w:val="auto"/>
          <w:szCs w:val="28"/>
        </w:rPr>
      </w:pPr>
    </w:p>
    <w:p w14:paraId="7A032997">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八、</w:t>
      </w:r>
      <w:bookmarkEnd w:id="89"/>
      <w:bookmarkEnd w:id="90"/>
      <w:bookmarkEnd w:id="91"/>
      <w:bookmarkEnd w:id="92"/>
      <w:bookmarkEnd w:id="93"/>
      <w:bookmarkEnd w:id="94"/>
      <w:r>
        <w:rPr>
          <w:rFonts w:hint="eastAsia" w:ascii="宋体" w:hAnsi="宋体"/>
          <w:b/>
          <w:bCs/>
          <w:color w:val="auto"/>
          <w:sz w:val="32"/>
          <w:szCs w:val="32"/>
        </w:rPr>
        <w:t>技术要求、商务应答表</w:t>
      </w:r>
    </w:p>
    <w:p w14:paraId="4CABA3BB">
      <w:pPr>
        <w:pStyle w:val="28"/>
        <w:pBdr>
          <w:bottom w:val="none" w:color="auto" w:sz="0" w:space="0"/>
        </w:pBdr>
        <w:tabs>
          <w:tab w:val="clear" w:pos="4153"/>
          <w:tab w:val="clear" w:pos="8306"/>
        </w:tabs>
        <w:snapToGrid/>
        <w:jc w:val="both"/>
        <w:rPr>
          <w:rFonts w:ascii="宋体" w:hAnsi="宋体"/>
          <w:color w:val="auto"/>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E1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52BA698">
            <w:pPr>
              <w:jc w:val="center"/>
              <w:rPr>
                <w:rFonts w:ascii="宋体" w:hAnsi="宋体"/>
                <w:color w:val="auto"/>
                <w:sz w:val="24"/>
              </w:rPr>
            </w:pPr>
            <w:r>
              <w:rPr>
                <w:rFonts w:hint="eastAsia" w:ascii="宋体" w:hAnsi="宋体"/>
                <w:color w:val="auto"/>
                <w:sz w:val="24"/>
              </w:rPr>
              <w:t>序号</w:t>
            </w:r>
          </w:p>
        </w:tc>
        <w:tc>
          <w:tcPr>
            <w:tcW w:w="2795" w:type="dxa"/>
            <w:vAlign w:val="center"/>
          </w:tcPr>
          <w:p w14:paraId="71B39913">
            <w:pPr>
              <w:jc w:val="center"/>
              <w:rPr>
                <w:rFonts w:ascii="宋体" w:hAnsi="宋体"/>
                <w:color w:val="auto"/>
                <w:sz w:val="24"/>
              </w:rPr>
            </w:pPr>
            <w:r>
              <w:rPr>
                <w:rFonts w:hint="eastAsia" w:ascii="宋体" w:hAnsi="宋体"/>
                <w:color w:val="auto"/>
                <w:sz w:val="24"/>
              </w:rPr>
              <w:t>内容</w:t>
            </w:r>
          </w:p>
        </w:tc>
        <w:tc>
          <w:tcPr>
            <w:tcW w:w="2795" w:type="dxa"/>
            <w:vAlign w:val="center"/>
          </w:tcPr>
          <w:p w14:paraId="0B9D20E1">
            <w:pPr>
              <w:jc w:val="center"/>
              <w:rPr>
                <w:rFonts w:ascii="宋体" w:hAnsi="宋体"/>
                <w:color w:val="auto"/>
                <w:sz w:val="24"/>
              </w:rPr>
            </w:pPr>
            <w:r>
              <w:rPr>
                <w:rFonts w:hint="eastAsia" w:ascii="宋体" w:hAnsi="宋体"/>
                <w:color w:val="auto"/>
                <w:sz w:val="24"/>
              </w:rPr>
              <w:t>采购文件要求</w:t>
            </w:r>
          </w:p>
        </w:tc>
        <w:tc>
          <w:tcPr>
            <w:tcW w:w="2795" w:type="dxa"/>
            <w:vAlign w:val="center"/>
          </w:tcPr>
          <w:p w14:paraId="4FF1C25F">
            <w:pPr>
              <w:jc w:val="center"/>
              <w:rPr>
                <w:rFonts w:ascii="宋体" w:hAnsi="宋体"/>
                <w:color w:val="auto"/>
                <w:sz w:val="24"/>
              </w:rPr>
            </w:pPr>
            <w:r>
              <w:rPr>
                <w:rFonts w:hint="eastAsia" w:ascii="宋体" w:hAnsi="宋体"/>
                <w:color w:val="auto"/>
                <w:sz w:val="24"/>
              </w:rPr>
              <w:t>响应文件响应</w:t>
            </w:r>
          </w:p>
        </w:tc>
      </w:tr>
      <w:tr w14:paraId="6C2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67CA5F8">
            <w:pPr>
              <w:jc w:val="center"/>
              <w:rPr>
                <w:rFonts w:ascii="宋体" w:hAnsi="宋体"/>
                <w:color w:val="auto"/>
                <w:sz w:val="24"/>
              </w:rPr>
            </w:pPr>
          </w:p>
        </w:tc>
        <w:tc>
          <w:tcPr>
            <w:tcW w:w="2795" w:type="dxa"/>
          </w:tcPr>
          <w:p w14:paraId="49DAFDFE">
            <w:pPr>
              <w:jc w:val="center"/>
              <w:rPr>
                <w:rFonts w:ascii="宋体" w:hAnsi="宋体"/>
                <w:color w:val="auto"/>
                <w:sz w:val="24"/>
              </w:rPr>
            </w:pPr>
          </w:p>
        </w:tc>
        <w:tc>
          <w:tcPr>
            <w:tcW w:w="2795" w:type="dxa"/>
          </w:tcPr>
          <w:p w14:paraId="1D760C8F">
            <w:pPr>
              <w:jc w:val="center"/>
              <w:rPr>
                <w:rFonts w:ascii="宋体" w:hAnsi="宋体"/>
                <w:color w:val="auto"/>
                <w:sz w:val="24"/>
              </w:rPr>
            </w:pPr>
          </w:p>
        </w:tc>
        <w:tc>
          <w:tcPr>
            <w:tcW w:w="2795" w:type="dxa"/>
          </w:tcPr>
          <w:p w14:paraId="2E711DFF">
            <w:pPr>
              <w:jc w:val="center"/>
              <w:rPr>
                <w:rFonts w:ascii="宋体" w:hAnsi="宋体"/>
                <w:color w:val="auto"/>
                <w:sz w:val="24"/>
              </w:rPr>
            </w:pPr>
          </w:p>
        </w:tc>
      </w:tr>
      <w:tr w14:paraId="225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412E6E3">
            <w:pPr>
              <w:jc w:val="center"/>
              <w:rPr>
                <w:rFonts w:ascii="宋体" w:hAnsi="宋体"/>
                <w:color w:val="auto"/>
                <w:sz w:val="24"/>
              </w:rPr>
            </w:pPr>
          </w:p>
        </w:tc>
        <w:tc>
          <w:tcPr>
            <w:tcW w:w="2795" w:type="dxa"/>
          </w:tcPr>
          <w:p w14:paraId="4819C6D2">
            <w:pPr>
              <w:jc w:val="center"/>
              <w:rPr>
                <w:rFonts w:ascii="宋体" w:hAnsi="宋体"/>
                <w:color w:val="auto"/>
                <w:sz w:val="24"/>
              </w:rPr>
            </w:pPr>
          </w:p>
        </w:tc>
        <w:tc>
          <w:tcPr>
            <w:tcW w:w="2795" w:type="dxa"/>
          </w:tcPr>
          <w:p w14:paraId="2E46606B">
            <w:pPr>
              <w:jc w:val="center"/>
              <w:rPr>
                <w:rFonts w:ascii="宋体" w:hAnsi="宋体"/>
                <w:color w:val="auto"/>
                <w:sz w:val="24"/>
              </w:rPr>
            </w:pPr>
          </w:p>
        </w:tc>
        <w:tc>
          <w:tcPr>
            <w:tcW w:w="2795" w:type="dxa"/>
          </w:tcPr>
          <w:p w14:paraId="17443858">
            <w:pPr>
              <w:jc w:val="center"/>
              <w:rPr>
                <w:rFonts w:ascii="宋体" w:hAnsi="宋体"/>
                <w:color w:val="auto"/>
                <w:sz w:val="24"/>
              </w:rPr>
            </w:pPr>
          </w:p>
        </w:tc>
      </w:tr>
      <w:tr w14:paraId="632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C643863">
            <w:pPr>
              <w:jc w:val="center"/>
              <w:rPr>
                <w:rFonts w:ascii="宋体" w:hAnsi="宋体"/>
                <w:color w:val="auto"/>
                <w:sz w:val="24"/>
              </w:rPr>
            </w:pPr>
          </w:p>
        </w:tc>
        <w:tc>
          <w:tcPr>
            <w:tcW w:w="2795" w:type="dxa"/>
          </w:tcPr>
          <w:p w14:paraId="00A28FC1">
            <w:pPr>
              <w:jc w:val="center"/>
              <w:rPr>
                <w:rFonts w:ascii="宋体" w:hAnsi="宋体"/>
                <w:color w:val="auto"/>
                <w:sz w:val="24"/>
              </w:rPr>
            </w:pPr>
          </w:p>
        </w:tc>
        <w:tc>
          <w:tcPr>
            <w:tcW w:w="2795" w:type="dxa"/>
          </w:tcPr>
          <w:p w14:paraId="779F6D2D">
            <w:pPr>
              <w:jc w:val="center"/>
              <w:rPr>
                <w:rFonts w:ascii="宋体" w:hAnsi="宋体"/>
                <w:color w:val="auto"/>
                <w:sz w:val="24"/>
              </w:rPr>
            </w:pPr>
          </w:p>
        </w:tc>
        <w:tc>
          <w:tcPr>
            <w:tcW w:w="2795" w:type="dxa"/>
          </w:tcPr>
          <w:p w14:paraId="41A078C8">
            <w:pPr>
              <w:jc w:val="center"/>
              <w:rPr>
                <w:rFonts w:ascii="宋体" w:hAnsi="宋体"/>
                <w:color w:val="auto"/>
                <w:sz w:val="24"/>
              </w:rPr>
            </w:pPr>
          </w:p>
        </w:tc>
      </w:tr>
      <w:tr w14:paraId="157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50B1D8">
            <w:pPr>
              <w:jc w:val="center"/>
              <w:rPr>
                <w:rFonts w:ascii="宋体" w:hAnsi="宋体"/>
                <w:color w:val="auto"/>
                <w:sz w:val="24"/>
              </w:rPr>
            </w:pPr>
          </w:p>
        </w:tc>
        <w:tc>
          <w:tcPr>
            <w:tcW w:w="2795" w:type="dxa"/>
          </w:tcPr>
          <w:p w14:paraId="3FB1263F">
            <w:pPr>
              <w:jc w:val="center"/>
              <w:rPr>
                <w:rFonts w:ascii="宋体" w:hAnsi="宋体"/>
                <w:color w:val="auto"/>
                <w:sz w:val="24"/>
              </w:rPr>
            </w:pPr>
          </w:p>
        </w:tc>
        <w:tc>
          <w:tcPr>
            <w:tcW w:w="2795" w:type="dxa"/>
          </w:tcPr>
          <w:p w14:paraId="2119F1FA">
            <w:pPr>
              <w:jc w:val="center"/>
              <w:rPr>
                <w:rFonts w:ascii="宋体" w:hAnsi="宋体"/>
                <w:color w:val="auto"/>
                <w:sz w:val="24"/>
              </w:rPr>
            </w:pPr>
          </w:p>
        </w:tc>
        <w:tc>
          <w:tcPr>
            <w:tcW w:w="2795" w:type="dxa"/>
          </w:tcPr>
          <w:p w14:paraId="0C951499">
            <w:pPr>
              <w:jc w:val="center"/>
              <w:rPr>
                <w:rFonts w:ascii="宋体" w:hAnsi="宋体"/>
                <w:color w:val="auto"/>
                <w:sz w:val="24"/>
              </w:rPr>
            </w:pPr>
          </w:p>
        </w:tc>
      </w:tr>
    </w:tbl>
    <w:p w14:paraId="16C3F992">
      <w:pPr>
        <w:ind w:firstLine="482" w:firstLineChars="200"/>
        <w:rPr>
          <w:rFonts w:ascii="宋体" w:hAnsi="宋体"/>
          <w:b/>
          <w:color w:val="auto"/>
          <w:sz w:val="24"/>
        </w:rPr>
      </w:pPr>
    </w:p>
    <w:p w14:paraId="52989505">
      <w:pPr>
        <w:ind w:firstLine="480" w:firstLineChars="200"/>
        <w:rPr>
          <w:rFonts w:ascii="宋体" w:hAnsi="宋体"/>
          <w:b/>
          <w:color w:val="auto"/>
          <w:sz w:val="24"/>
        </w:rPr>
      </w:pPr>
      <w:r>
        <w:rPr>
          <w:rFonts w:hint="eastAsia" w:ascii="宋体" w:hAnsi="宋体"/>
          <w:color w:val="auto"/>
          <w:sz w:val="24"/>
        </w:rPr>
        <w:t>注：供应商必须根据谈判文件要求据实逐条填写，不得虚假响应，虚假响应的，其响应文件无效并按规定追究其相关责任。</w:t>
      </w:r>
    </w:p>
    <w:p w14:paraId="5AEA4ECD">
      <w:pPr>
        <w:adjustRightInd w:val="0"/>
        <w:spacing w:line="400" w:lineRule="exact"/>
        <w:ind w:firstLine="480" w:firstLineChars="200"/>
        <w:jc w:val="left"/>
        <w:rPr>
          <w:rFonts w:ascii="宋体" w:hAnsi="宋体"/>
          <w:color w:val="auto"/>
          <w:sz w:val="24"/>
        </w:rPr>
      </w:pPr>
    </w:p>
    <w:p w14:paraId="49D90A80">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14:paraId="0BD7A267">
      <w:pPr>
        <w:adjustRightInd w:val="0"/>
        <w:spacing w:line="400" w:lineRule="exact"/>
        <w:ind w:firstLine="480" w:firstLineChars="200"/>
        <w:jc w:val="left"/>
        <w:rPr>
          <w:bCs/>
          <w:color w:val="auto"/>
          <w:sz w:val="24"/>
        </w:rPr>
      </w:pPr>
      <w:r>
        <w:rPr>
          <w:rFonts w:hint="eastAsia"/>
          <w:bCs/>
          <w:color w:val="auto"/>
          <w:sz w:val="24"/>
        </w:rPr>
        <w:t>法定代表人或授权代表（签字或盖章）：XXX</w:t>
      </w:r>
    </w:p>
    <w:p w14:paraId="78675BD3">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w:t>
      </w:r>
      <w:r>
        <w:rPr>
          <w:rFonts w:hint="eastAsia"/>
          <w:bCs/>
          <w:color w:val="auto"/>
          <w:sz w:val="24"/>
        </w:rPr>
        <w:t>XXX年XXX月XXX日</w:t>
      </w:r>
    </w:p>
    <w:p w14:paraId="6AACC37A">
      <w:pPr>
        <w:spacing w:line="400" w:lineRule="exact"/>
        <w:rPr>
          <w:rFonts w:ascii="宋体" w:hAnsi="宋体"/>
          <w:color w:val="auto"/>
        </w:rPr>
      </w:pPr>
    </w:p>
    <w:p w14:paraId="6D72E5C6">
      <w:pPr>
        <w:spacing w:line="400" w:lineRule="exact"/>
        <w:rPr>
          <w:rFonts w:ascii="宋体" w:hAnsi="宋体"/>
          <w:color w:val="auto"/>
        </w:rPr>
      </w:pPr>
    </w:p>
    <w:p w14:paraId="51D84B43">
      <w:pPr>
        <w:spacing w:line="400" w:lineRule="exact"/>
        <w:rPr>
          <w:rFonts w:ascii="宋体" w:hAnsi="宋体"/>
          <w:color w:val="auto"/>
        </w:rPr>
      </w:pPr>
    </w:p>
    <w:p w14:paraId="51191465">
      <w:pPr>
        <w:pStyle w:val="25"/>
        <w:tabs>
          <w:tab w:val="left" w:pos="0"/>
        </w:tabs>
        <w:rPr>
          <w:color w:val="auto"/>
        </w:rPr>
      </w:pPr>
    </w:p>
    <w:p w14:paraId="0392D3CF">
      <w:pPr>
        <w:pStyle w:val="25"/>
        <w:tabs>
          <w:tab w:val="left" w:pos="0"/>
        </w:tabs>
        <w:ind w:left="0" w:leftChars="0"/>
        <w:rPr>
          <w:color w:val="auto"/>
        </w:rPr>
      </w:pPr>
    </w:p>
    <w:p w14:paraId="79E8CEDC">
      <w:pPr>
        <w:adjustRightInd w:val="0"/>
        <w:spacing w:line="400" w:lineRule="exact"/>
        <w:jc w:val="left"/>
        <w:rPr>
          <w:bCs/>
          <w:color w:val="auto"/>
          <w:sz w:val="24"/>
        </w:rPr>
      </w:pPr>
    </w:p>
    <w:p w14:paraId="3006905C">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九、供应商类似项目业绩一览表</w:t>
      </w:r>
    </w:p>
    <w:p w14:paraId="16CF9E7A">
      <w:pPr>
        <w:spacing w:line="400" w:lineRule="exact"/>
        <w:rPr>
          <w:rFonts w:ascii="宋体" w:hAnsi="宋体" w:cs="Arial"/>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7686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D065BFA">
            <w:pPr>
              <w:spacing w:line="400" w:lineRule="exact"/>
              <w:ind w:firstLine="105" w:firstLineChars="50"/>
              <w:jc w:val="center"/>
              <w:rPr>
                <w:rFonts w:ascii="宋体" w:hAnsi="宋体" w:cs="Arial"/>
                <w:b/>
                <w:color w:val="auto"/>
              </w:rPr>
            </w:pPr>
            <w:r>
              <w:rPr>
                <w:rFonts w:hint="eastAsia" w:ascii="宋体" w:hAnsi="宋体" w:cs="Arial"/>
                <w:b/>
                <w:color w:val="auto"/>
              </w:rPr>
              <w:t>年份</w:t>
            </w:r>
          </w:p>
        </w:tc>
        <w:tc>
          <w:tcPr>
            <w:tcW w:w="1439" w:type="dxa"/>
            <w:vAlign w:val="center"/>
          </w:tcPr>
          <w:p w14:paraId="48048B9B">
            <w:pPr>
              <w:spacing w:line="400" w:lineRule="exact"/>
              <w:jc w:val="center"/>
              <w:rPr>
                <w:rFonts w:ascii="宋体" w:hAnsi="宋体" w:cs="Arial"/>
                <w:b/>
                <w:color w:val="auto"/>
              </w:rPr>
            </w:pPr>
            <w:r>
              <w:rPr>
                <w:rFonts w:hint="eastAsia" w:ascii="宋体" w:hAnsi="宋体" w:cs="Arial"/>
                <w:b/>
                <w:color w:val="auto"/>
              </w:rPr>
              <w:t>用户名称</w:t>
            </w:r>
          </w:p>
        </w:tc>
        <w:tc>
          <w:tcPr>
            <w:tcW w:w="1319" w:type="dxa"/>
            <w:vAlign w:val="center"/>
          </w:tcPr>
          <w:p w14:paraId="40D3E4B9">
            <w:pPr>
              <w:spacing w:line="400" w:lineRule="exact"/>
              <w:jc w:val="center"/>
              <w:rPr>
                <w:rFonts w:ascii="宋体" w:hAnsi="宋体" w:cs="Arial"/>
                <w:b/>
                <w:color w:val="auto"/>
              </w:rPr>
            </w:pPr>
            <w:r>
              <w:rPr>
                <w:rFonts w:ascii="宋体" w:hAnsi="宋体" w:cs="Arial"/>
                <w:b/>
                <w:color w:val="auto"/>
              </w:rPr>
              <w:t>项目名称</w:t>
            </w:r>
          </w:p>
        </w:tc>
        <w:tc>
          <w:tcPr>
            <w:tcW w:w="1160" w:type="dxa"/>
            <w:vAlign w:val="center"/>
          </w:tcPr>
          <w:p w14:paraId="31A359D3">
            <w:pPr>
              <w:spacing w:line="400" w:lineRule="exact"/>
              <w:jc w:val="center"/>
              <w:rPr>
                <w:rFonts w:ascii="宋体" w:hAnsi="宋体" w:cs="Arial"/>
                <w:b/>
                <w:color w:val="auto"/>
              </w:rPr>
            </w:pPr>
            <w:r>
              <w:rPr>
                <w:rFonts w:ascii="宋体" w:hAnsi="宋体" w:cs="Arial"/>
                <w:b/>
                <w:color w:val="auto"/>
              </w:rPr>
              <w:t>完成时间</w:t>
            </w:r>
          </w:p>
        </w:tc>
        <w:tc>
          <w:tcPr>
            <w:tcW w:w="1421" w:type="dxa"/>
            <w:gridSpan w:val="2"/>
            <w:vAlign w:val="center"/>
          </w:tcPr>
          <w:p w14:paraId="0C72BBDD">
            <w:pPr>
              <w:spacing w:line="400" w:lineRule="exact"/>
              <w:ind w:firstLine="105" w:firstLineChars="50"/>
              <w:jc w:val="center"/>
              <w:rPr>
                <w:rFonts w:ascii="宋体" w:hAnsi="宋体" w:cs="Arial"/>
                <w:b/>
                <w:color w:val="auto"/>
              </w:rPr>
            </w:pPr>
            <w:r>
              <w:rPr>
                <w:rFonts w:ascii="宋体" w:hAnsi="宋体" w:cs="Arial"/>
                <w:b/>
                <w:color w:val="auto"/>
              </w:rPr>
              <w:t>合同金额</w:t>
            </w:r>
          </w:p>
        </w:tc>
        <w:tc>
          <w:tcPr>
            <w:tcW w:w="1614" w:type="dxa"/>
            <w:gridSpan w:val="2"/>
            <w:tcBorders>
              <w:right w:val="single" w:color="auto" w:sz="4" w:space="0"/>
            </w:tcBorders>
            <w:vAlign w:val="center"/>
          </w:tcPr>
          <w:p w14:paraId="25924872">
            <w:pPr>
              <w:spacing w:line="400" w:lineRule="exact"/>
              <w:jc w:val="center"/>
              <w:rPr>
                <w:rFonts w:ascii="宋体" w:hAnsi="宋体" w:cs="Arial"/>
                <w:b/>
                <w:color w:val="auto"/>
              </w:rPr>
            </w:pPr>
            <w:r>
              <w:rPr>
                <w:rFonts w:hint="eastAsia" w:ascii="宋体" w:hAnsi="宋体" w:cs="Arial"/>
                <w:b/>
                <w:color w:val="auto"/>
              </w:rPr>
              <w:t>是否通过验收</w:t>
            </w:r>
          </w:p>
        </w:tc>
        <w:tc>
          <w:tcPr>
            <w:tcW w:w="1387" w:type="dxa"/>
            <w:gridSpan w:val="2"/>
            <w:tcBorders>
              <w:left w:val="single" w:color="auto" w:sz="4" w:space="0"/>
            </w:tcBorders>
            <w:vAlign w:val="center"/>
          </w:tcPr>
          <w:p w14:paraId="278E34A7">
            <w:pPr>
              <w:spacing w:line="400" w:lineRule="exact"/>
              <w:jc w:val="center"/>
              <w:rPr>
                <w:rFonts w:ascii="宋体" w:hAnsi="宋体" w:cs="Arial"/>
                <w:b/>
                <w:color w:val="auto"/>
              </w:rPr>
            </w:pPr>
            <w:r>
              <w:rPr>
                <w:rFonts w:hint="eastAsia" w:ascii="宋体" w:hAnsi="宋体" w:cs="Arial"/>
                <w:b/>
                <w:color w:val="auto"/>
              </w:rPr>
              <w:t>备注</w:t>
            </w:r>
          </w:p>
        </w:tc>
      </w:tr>
      <w:tr w14:paraId="2B41A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331AD0">
            <w:pPr>
              <w:spacing w:line="400" w:lineRule="exact"/>
              <w:jc w:val="center"/>
              <w:rPr>
                <w:rFonts w:ascii="宋体" w:hAnsi="宋体" w:cs="Arial"/>
                <w:color w:val="auto"/>
              </w:rPr>
            </w:pPr>
          </w:p>
        </w:tc>
        <w:tc>
          <w:tcPr>
            <w:tcW w:w="1439" w:type="dxa"/>
            <w:vAlign w:val="center"/>
          </w:tcPr>
          <w:p w14:paraId="2F6554D0">
            <w:pPr>
              <w:spacing w:line="400" w:lineRule="exact"/>
              <w:jc w:val="center"/>
              <w:rPr>
                <w:rFonts w:ascii="宋体" w:hAnsi="宋体" w:cs="Arial"/>
                <w:color w:val="auto"/>
              </w:rPr>
            </w:pPr>
          </w:p>
        </w:tc>
        <w:tc>
          <w:tcPr>
            <w:tcW w:w="1319" w:type="dxa"/>
            <w:vAlign w:val="center"/>
          </w:tcPr>
          <w:p w14:paraId="69098907">
            <w:pPr>
              <w:spacing w:line="400" w:lineRule="exact"/>
              <w:jc w:val="center"/>
              <w:rPr>
                <w:rFonts w:ascii="宋体" w:hAnsi="宋体" w:cs="Arial"/>
                <w:color w:val="auto"/>
              </w:rPr>
            </w:pPr>
          </w:p>
        </w:tc>
        <w:tc>
          <w:tcPr>
            <w:tcW w:w="1160" w:type="dxa"/>
            <w:vAlign w:val="center"/>
          </w:tcPr>
          <w:p w14:paraId="2AFC7506">
            <w:pPr>
              <w:spacing w:line="400" w:lineRule="exact"/>
              <w:jc w:val="center"/>
              <w:rPr>
                <w:rFonts w:ascii="宋体" w:hAnsi="宋体" w:cs="Arial"/>
                <w:color w:val="auto"/>
              </w:rPr>
            </w:pPr>
          </w:p>
        </w:tc>
        <w:tc>
          <w:tcPr>
            <w:tcW w:w="1421" w:type="dxa"/>
            <w:gridSpan w:val="2"/>
            <w:vAlign w:val="center"/>
          </w:tcPr>
          <w:p w14:paraId="1C4ACD9F">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56AF797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2B83E91">
            <w:pPr>
              <w:spacing w:line="400" w:lineRule="exact"/>
              <w:jc w:val="center"/>
              <w:rPr>
                <w:rFonts w:ascii="宋体" w:hAnsi="宋体" w:cs="Arial"/>
                <w:color w:val="auto"/>
              </w:rPr>
            </w:pPr>
          </w:p>
        </w:tc>
      </w:tr>
      <w:tr w14:paraId="4B199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37D3264">
            <w:pPr>
              <w:spacing w:line="400" w:lineRule="exact"/>
              <w:jc w:val="center"/>
              <w:rPr>
                <w:rFonts w:ascii="宋体" w:hAnsi="宋体" w:cs="Arial"/>
                <w:color w:val="auto"/>
              </w:rPr>
            </w:pPr>
          </w:p>
        </w:tc>
        <w:tc>
          <w:tcPr>
            <w:tcW w:w="1439" w:type="dxa"/>
            <w:vAlign w:val="center"/>
          </w:tcPr>
          <w:p w14:paraId="3C0840D0">
            <w:pPr>
              <w:spacing w:line="400" w:lineRule="exact"/>
              <w:jc w:val="center"/>
              <w:rPr>
                <w:rFonts w:ascii="宋体" w:hAnsi="宋体" w:cs="Arial"/>
                <w:color w:val="auto"/>
              </w:rPr>
            </w:pPr>
          </w:p>
        </w:tc>
        <w:tc>
          <w:tcPr>
            <w:tcW w:w="1319" w:type="dxa"/>
            <w:vAlign w:val="center"/>
          </w:tcPr>
          <w:p w14:paraId="6AD454AB">
            <w:pPr>
              <w:spacing w:line="400" w:lineRule="exact"/>
              <w:jc w:val="center"/>
              <w:rPr>
                <w:rFonts w:ascii="宋体" w:hAnsi="宋体" w:cs="Arial"/>
                <w:color w:val="auto"/>
              </w:rPr>
            </w:pPr>
          </w:p>
        </w:tc>
        <w:tc>
          <w:tcPr>
            <w:tcW w:w="1160" w:type="dxa"/>
            <w:vAlign w:val="center"/>
          </w:tcPr>
          <w:p w14:paraId="5F38A4BA">
            <w:pPr>
              <w:spacing w:line="400" w:lineRule="exact"/>
              <w:jc w:val="center"/>
              <w:rPr>
                <w:rFonts w:ascii="宋体" w:hAnsi="宋体" w:cs="Arial"/>
                <w:color w:val="auto"/>
              </w:rPr>
            </w:pPr>
          </w:p>
        </w:tc>
        <w:tc>
          <w:tcPr>
            <w:tcW w:w="1421" w:type="dxa"/>
            <w:gridSpan w:val="2"/>
            <w:vAlign w:val="center"/>
          </w:tcPr>
          <w:p w14:paraId="1E9BD083">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315BE37C">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E89BAEA">
            <w:pPr>
              <w:spacing w:line="400" w:lineRule="exact"/>
              <w:jc w:val="center"/>
              <w:rPr>
                <w:rFonts w:ascii="宋体" w:hAnsi="宋体" w:cs="Arial"/>
                <w:color w:val="auto"/>
              </w:rPr>
            </w:pPr>
          </w:p>
        </w:tc>
      </w:tr>
      <w:tr w14:paraId="60D15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E45A1AD">
            <w:pPr>
              <w:spacing w:line="400" w:lineRule="exact"/>
              <w:jc w:val="center"/>
              <w:rPr>
                <w:rFonts w:ascii="宋体" w:hAnsi="宋体" w:cs="Arial"/>
                <w:color w:val="auto"/>
              </w:rPr>
            </w:pPr>
          </w:p>
        </w:tc>
        <w:tc>
          <w:tcPr>
            <w:tcW w:w="1439" w:type="dxa"/>
            <w:vAlign w:val="center"/>
          </w:tcPr>
          <w:p w14:paraId="08E738E8">
            <w:pPr>
              <w:spacing w:line="400" w:lineRule="exact"/>
              <w:jc w:val="center"/>
              <w:rPr>
                <w:rFonts w:ascii="宋体" w:hAnsi="宋体" w:cs="Arial"/>
                <w:color w:val="auto"/>
              </w:rPr>
            </w:pPr>
          </w:p>
        </w:tc>
        <w:tc>
          <w:tcPr>
            <w:tcW w:w="1319" w:type="dxa"/>
            <w:vAlign w:val="center"/>
          </w:tcPr>
          <w:p w14:paraId="6479D173">
            <w:pPr>
              <w:spacing w:line="400" w:lineRule="exact"/>
              <w:jc w:val="center"/>
              <w:rPr>
                <w:rFonts w:ascii="宋体" w:hAnsi="宋体" w:cs="Arial"/>
                <w:color w:val="auto"/>
              </w:rPr>
            </w:pPr>
          </w:p>
        </w:tc>
        <w:tc>
          <w:tcPr>
            <w:tcW w:w="1160" w:type="dxa"/>
            <w:vAlign w:val="center"/>
          </w:tcPr>
          <w:p w14:paraId="3A1CD225">
            <w:pPr>
              <w:spacing w:line="400" w:lineRule="exact"/>
              <w:jc w:val="center"/>
              <w:rPr>
                <w:rFonts w:ascii="宋体" w:hAnsi="宋体" w:cs="Arial"/>
                <w:color w:val="auto"/>
              </w:rPr>
            </w:pPr>
          </w:p>
        </w:tc>
        <w:tc>
          <w:tcPr>
            <w:tcW w:w="1421" w:type="dxa"/>
            <w:gridSpan w:val="2"/>
            <w:vAlign w:val="center"/>
          </w:tcPr>
          <w:p w14:paraId="56680BB5">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7D75C078">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3562543">
            <w:pPr>
              <w:spacing w:line="400" w:lineRule="exact"/>
              <w:jc w:val="center"/>
              <w:rPr>
                <w:rFonts w:ascii="宋体" w:hAnsi="宋体" w:cs="Arial"/>
                <w:color w:val="auto"/>
              </w:rPr>
            </w:pPr>
          </w:p>
        </w:tc>
      </w:tr>
      <w:tr w14:paraId="72A0E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C3B3F14">
            <w:pPr>
              <w:spacing w:line="400" w:lineRule="exact"/>
              <w:jc w:val="center"/>
              <w:rPr>
                <w:rFonts w:ascii="宋体" w:hAnsi="宋体" w:cs="Arial"/>
                <w:color w:val="auto"/>
              </w:rPr>
            </w:pPr>
          </w:p>
        </w:tc>
        <w:tc>
          <w:tcPr>
            <w:tcW w:w="1439" w:type="dxa"/>
            <w:tcBorders>
              <w:right w:val="single" w:color="auto" w:sz="4" w:space="0"/>
            </w:tcBorders>
            <w:vAlign w:val="center"/>
          </w:tcPr>
          <w:p w14:paraId="1A6DF11C">
            <w:pPr>
              <w:spacing w:line="400" w:lineRule="exact"/>
              <w:jc w:val="center"/>
              <w:rPr>
                <w:rFonts w:ascii="宋体" w:hAnsi="宋体" w:cs="Arial"/>
                <w:color w:val="auto"/>
              </w:rPr>
            </w:pPr>
          </w:p>
        </w:tc>
        <w:tc>
          <w:tcPr>
            <w:tcW w:w="1319" w:type="dxa"/>
            <w:tcBorders>
              <w:left w:val="single" w:color="auto" w:sz="4" w:space="0"/>
            </w:tcBorders>
            <w:vAlign w:val="center"/>
          </w:tcPr>
          <w:p w14:paraId="039580E6">
            <w:pPr>
              <w:spacing w:line="400" w:lineRule="exact"/>
              <w:jc w:val="center"/>
              <w:rPr>
                <w:rFonts w:ascii="宋体" w:hAnsi="宋体" w:cs="Arial"/>
                <w:color w:val="auto"/>
              </w:rPr>
            </w:pPr>
          </w:p>
        </w:tc>
        <w:tc>
          <w:tcPr>
            <w:tcW w:w="1160" w:type="dxa"/>
            <w:vAlign w:val="center"/>
          </w:tcPr>
          <w:p w14:paraId="44160FF4">
            <w:pPr>
              <w:spacing w:line="400" w:lineRule="exact"/>
              <w:jc w:val="center"/>
              <w:rPr>
                <w:rFonts w:ascii="宋体" w:hAnsi="宋体" w:cs="Arial"/>
                <w:color w:val="auto"/>
              </w:rPr>
            </w:pPr>
          </w:p>
        </w:tc>
        <w:tc>
          <w:tcPr>
            <w:tcW w:w="1421" w:type="dxa"/>
            <w:gridSpan w:val="2"/>
            <w:vAlign w:val="center"/>
          </w:tcPr>
          <w:p w14:paraId="5602B2ED">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2D058F6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2F38162">
            <w:pPr>
              <w:spacing w:line="400" w:lineRule="exact"/>
              <w:jc w:val="center"/>
              <w:rPr>
                <w:rFonts w:ascii="宋体" w:hAnsi="宋体" w:cs="Arial"/>
                <w:color w:val="auto"/>
              </w:rPr>
            </w:pPr>
          </w:p>
        </w:tc>
      </w:tr>
      <w:tr w14:paraId="3BA48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7752929">
            <w:pPr>
              <w:spacing w:line="400" w:lineRule="exact"/>
              <w:rPr>
                <w:rFonts w:ascii="宋体" w:hAnsi="宋体" w:cs="Arial"/>
                <w:color w:val="auto"/>
              </w:rPr>
            </w:pPr>
          </w:p>
        </w:tc>
        <w:tc>
          <w:tcPr>
            <w:tcW w:w="1439" w:type="dxa"/>
            <w:tcBorders>
              <w:left w:val="single" w:color="auto" w:sz="4" w:space="0"/>
              <w:right w:val="single" w:color="auto" w:sz="4" w:space="0"/>
            </w:tcBorders>
            <w:vAlign w:val="center"/>
          </w:tcPr>
          <w:p w14:paraId="20885334">
            <w:pPr>
              <w:spacing w:line="400" w:lineRule="exact"/>
              <w:rPr>
                <w:rFonts w:ascii="宋体" w:hAnsi="宋体" w:cs="Arial"/>
                <w:color w:val="auto"/>
              </w:rPr>
            </w:pPr>
          </w:p>
        </w:tc>
        <w:tc>
          <w:tcPr>
            <w:tcW w:w="1319" w:type="dxa"/>
            <w:tcBorders>
              <w:left w:val="single" w:color="auto" w:sz="4" w:space="0"/>
              <w:right w:val="single" w:color="auto" w:sz="4" w:space="0"/>
            </w:tcBorders>
            <w:vAlign w:val="center"/>
          </w:tcPr>
          <w:p w14:paraId="72F5606A">
            <w:pPr>
              <w:spacing w:line="400" w:lineRule="exact"/>
              <w:rPr>
                <w:rFonts w:ascii="宋体" w:hAnsi="宋体" w:cs="Arial"/>
                <w:color w:val="auto"/>
              </w:rPr>
            </w:pPr>
          </w:p>
        </w:tc>
        <w:tc>
          <w:tcPr>
            <w:tcW w:w="1160" w:type="dxa"/>
            <w:tcBorders>
              <w:left w:val="single" w:color="auto" w:sz="4" w:space="0"/>
              <w:right w:val="single" w:color="auto" w:sz="4" w:space="0"/>
            </w:tcBorders>
            <w:vAlign w:val="center"/>
          </w:tcPr>
          <w:p w14:paraId="4C8BCC8B">
            <w:pPr>
              <w:spacing w:line="400" w:lineRule="exact"/>
              <w:rPr>
                <w:rFonts w:ascii="宋体" w:hAnsi="宋体" w:cs="Arial"/>
                <w:color w:val="auto"/>
              </w:rPr>
            </w:pPr>
          </w:p>
        </w:tc>
        <w:tc>
          <w:tcPr>
            <w:tcW w:w="1415" w:type="dxa"/>
            <w:tcBorders>
              <w:left w:val="single" w:color="auto" w:sz="4" w:space="0"/>
              <w:right w:val="single" w:color="auto" w:sz="4" w:space="0"/>
            </w:tcBorders>
            <w:vAlign w:val="center"/>
          </w:tcPr>
          <w:p w14:paraId="1171FB5D">
            <w:pPr>
              <w:spacing w:line="400" w:lineRule="exact"/>
              <w:rPr>
                <w:rFonts w:ascii="宋体" w:hAnsi="宋体" w:cs="Arial"/>
                <w:color w:val="auto"/>
              </w:rPr>
            </w:pPr>
          </w:p>
        </w:tc>
        <w:tc>
          <w:tcPr>
            <w:tcW w:w="1605" w:type="dxa"/>
            <w:gridSpan w:val="2"/>
            <w:tcBorders>
              <w:left w:val="single" w:color="auto" w:sz="4" w:space="0"/>
              <w:right w:val="single" w:color="auto" w:sz="4" w:space="0"/>
            </w:tcBorders>
            <w:vAlign w:val="center"/>
          </w:tcPr>
          <w:p w14:paraId="7FC612E2">
            <w:pPr>
              <w:spacing w:line="400" w:lineRule="exact"/>
              <w:rPr>
                <w:rFonts w:ascii="宋体" w:hAnsi="宋体" w:cs="Arial"/>
                <w:color w:val="auto"/>
              </w:rPr>
            </w:pPr>
          </w:p>
        </w:tc>
        <w:tc>
          <w:tcPr>
            <w:tcW w:w="1392" w:type="dxa"/>
            <w:gridSpan w:val="2"/>
            <w:tcBorders>
              <w:left w:val="single" w:color="auto" w:sz="4" w:space="0"/>
            </w:tcBorders>
            <w:vAlign w:val="center"/>
          </w:tcPr>
          <w:p w14:paraId="48CD3D4B">
            <w:pPr>
              <w:spacing w:line="400" w:lineRule="exact"/>
              <w:rPr>
                <w:rFonts w:ascii="宋体" w:hAnsi="宋体" w:cs="Arial"/>
                <w:color w:val="auto"/>
              </w:rPr>
            </w:pPr>
          </w:p>
        </w:tc>
      </w:tr>
      <w:tr w14:paraId="36991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2C2602">
            <w:pPr>
              <w:spacing w:line="400" w:lineRule="exact"/>
              <w:rPr>
                <w:rFonts w:ascii="宋体" w:hAnsi="宋体" w:cs="Arial"/>
                <w:color w:val="auto"/>
              </w:rPr>
            </w:pPr>
          </w:p>
        </w:tc>
        <w:tc>
          <w:tcPr>
            <w:tcW w:w="1439" w:type="dxa"/>
            <w:vAlign w:val="center"/>
          </w:tcPr>
          <w:p w14:paraId="5A6A406C">
            <w:pPr>
              <w:spacing w:line="400" w:lineRule="exact"/>
              <w:rPr>
                <w:rFonts w:ascii="宋体" w:hAnsi="宋体" w:cs="Arial"/>
                <w:color w:val="auto"/>
              </w:rPr>
            </w:pPr>
          </w:p>
        </w:tc>
        <w:tc>
          <w:tcPr>
            <w:tcW w:w="1319" w:type="dxa"/>
            <w:vAlign w:val="center"/>
          </w:tcPr>
          <w:p w14:paraId="40A3DFF1">
            <w:pPr>
              <w:spacing w:line="400" w:lineRule="exact"/>
              <w:rPr>
                <w:rFonts w:ascii="宋体" w:hAnsi="宋体" w:cs="Arial"/>
                <w:color w:val="auto"/>
              </w:rPr>
            </w:pPr>
          </w:p>
        </w:tc>
        <w:tc>
          <w:tcPr>
            <w:tcW w:w="1160" w:type="dxa"/>
            <w:vAlign w:val="center"/>
          </w:tcPr>
          <w:p w14:paraId="78FABA59">
            <w:pPr>
              <w:spacing w:line="400" w:lineRule="exact"/>
              <w:rPr>
                <w:rFonts w:ascii="宋体" w:hAnsi="宋体" w:cs="Arial"/>
                <w:color w:val="auto"/>
              </w:rPr>
            </w:pPr>
          </w:p>
        </w:tc>
        <w:tc>
          <w:tcPr>
            <w:tcW w:w="1421" w:type="dxa"/>
            <w:gridSpan w:val="2"/>
            <w:tcBorders>
              <w:right w:val="single" w:color="auto" w:sz="4" w:space="0"/>
            </w:tcBorders>
            <w:vAlign w:val="center"/>
          </w:tcPr>
          <w:p w14:paraId="3E6B7017">
            <w:pPr>
              <w:spacing w:line="400" w:lineRule="exact"/>
              <w:rPr>
                <w:rFonts w:ascii="宋体" w:hAnsi="宋体" w:cs="Arial"/>
                <w:color w:val="auto"/>
              </w:rPr>
            </w:pPr>
          </w:p>
        </w:tc>
        <w:tc>
          <w:tcPr>
            <w:tcW w:w="1614" w:type="dxa"/>
            <w:gridSpan w:val="2"/>
            <w:tcBorders>
              <w:left w:val="single" w:color="auto" w:sz="4" w:space="0"/>
              <w:right w:val="single" w:color="auto" w:sz="4" w:space="0"/>
            </w:tcBorders>
            <w:vAlign w:val="center"/>
          </w:tcPr>
          <w:p w14:paraId="5FBE5142">
            <w:pPr>
              <w:spacing w:line="400" w:lineRule="exact"/>
              <w:rPr>
                <w:rFonts w:ascii="宋体" w:hAnsi="宋体" w:cs="Arial"/>
                <w:color w:val="auto"/>
              </w:rPr>
            </w:pPr>
          </w:p>
        </w:tc>
        <w:tc>
          <w:tcPr>
            <w:tcW w:w="1387" w:type="dxa"/>
            <w:gridSpan w:val="2"/>
            <w:tcBorders>
              <w:left w:val="single" w:color="auto" w:sz="4" w:space="0"/>
            </w:tcBorders>
            <w:vAlign w:val="center"/>
          </w:tcPr>
          <w:p w14:paraId="57533F46">
            <w:pPr>
              <w:spacing w:line="400" w:lineRule="exact"/>
              <w:rPr>
                <w:rFonts w:ascii="宋体" w:hAnsi="宋体" w:cs="Arial"/>
                <w:color w:val="auto"/>
              </w:rPr>
            </w:pPr>
          </w:p>
        </w:tc>
      </w:tr>
      <w:tr w14:paraId="67E3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9874BB1">
            <w:pPr>
              <w:spacing w:line="400" w:lineRule="exact"/>
              <w:jc w:val="center"/>
              <w:rPr>
                <w:rFonts w:ascii="宋体" w:hAnsi="宋体" w:cs="Arial"/>
                <w:color w:val="auto"/>
              </w:rPr>
            </w:pPr>
          </w:p>
        </w:tc>
        <w:tc>
          <w:tcPr>
            <w:tcW w:w="1439" w:type="dxa"/>
            <w:vAlign w:val="center"/>
          </w:tcPr>
          <w:p w14:paraId="5FF6C44E">
            <w:pPr>
              <w:spacing w:line="400" w:lineRule="exact"/>
              <w:jc w:val="center"/>
              <w:rPr>
                <w:rFonts w:ascii="宋体" w:hAnsi="宋体" w:cs="Arial"/>
                <w:color w:val="auto"/>
              </w:rPr>
            </w:pPr>
          </w:p>
        </w:tc>
        <w:tc>
          <w:tcPr>
            <w:tcW w:w="1319" w:type="dxa"/>
            <w:vAlign w:val="center"/>
          </w:tcPr>
          <w:p w14:paraId="3A329B69">
            <w:pPr>
              <w:spacing w:line="400" w:lineRule="exact"/>
              <w:jc w:val="center"/>
              <w:rPr>
                <w:rFonts w:ascii="宋体" w:hAnsi="宋体" w:cs="Arial"/>
                <w:color w:val="auto"/>
              </w:rPr>
            </w:pPr>
          </w:p>
        </w:tc>
        <w:tc>
          <w:tcPr>
            <w:tcW w:w="1160" w:type="dxa"/>
            <w:vAlign w:val="center"/>
          </w:tcPr>
          <w:p w14:paraId="593E8561">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505CDFDB">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FF2FC2D">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54406B45">
            <w:pPr>
              <w:spacing w:line="400" w:lineRule="exact"/>
              <w:jc w:val="center"/>
              <w:rPr>
                <w:rFonts w:ascii="宋体" w:hAnsi="宋体" w:cs="Arial"/>
                <w:color w:val="auto"/>
              </w:rPr>
            </w:pPr>
          </w:p>
        </w:tc>
      </w:tr>
      <w:tr w14:paraId="29B23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8E80ABE">
            <w:pPr>
              <w:spacing w:line="400" w:lineRule="exact"/>
              <w:jc w:val="center"/>
              <w:rPr>
                <w:rFonts w:ascii="宋体" w:hAnsi="宋体" w:cs="Arial"/>
                <w:color w:val="auto"/>
              </w:rPr>
            </w:pPr>
          </w:p>
        </w:tc>
        <w:tc>
          <w:tcPr>
            <w:tcW w:w="1439" w:type="dxa"/>
            <w:vAlign w:val="center"/>
          </w:tcPr>
          <w:p w14:paraId="56BC28BB">
            <w:pPr>
              <w:spacing w:line="400" w:lineRule="exact"/>
              <w:jc w:val="center"/>
              <w:rPr>
                <w:rFonts w:ascii="宋体" w:hAnsi="宋体" w:cs="Arial"/>
                <w:color w:val="auto"/>
              </w:rPr>
            </w:pPr>
          </w:p>
        </w:tc>
        <w:tc>
          <w:tcPr>
            <w:tcW w:w="1319" w:type="dxa"/>
            <w:vAlign w:val="center"/>
          </w:tcPr>
          <w:p w14:paraId="28C3FEED">
            <w:pPr>
              <w:spacing w:line="400" w:lineRule="exact"/>
              <w:jc w:val="center"/>
              <w:rPr>
                <w:rFonts w:ascii="宋体" w:hAnsi="宋体" w:cs="Arial"/>
                <w:color w:val="auto"/>
              </w:rPr>
            </w:pPr>
          </w:p>
        </w:tc>
        <w:tc>
          <w:tcPr>
            <w:tcW w:w="1160" w:type="dxa"/>
            <w:vAlign w:val="center"/>
          </w:tcPr>
          <w:p w14:paraId="4F867D32">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447FE4D3">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0171B59">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092B2820">
            <w:pPr>
              <w:spacing w:line="400" w:lineRule="exact"/>
              <w:jc w:val="center"/>
              <w:rPr>
                <w:rFonts w:ascii="宋体" w:hAnsi="宋体" w:cs="Arial"/>
                <w:color w:val="auto"/>
              </w:rPr>
            </w:pPr>
          </w:p>
        </w:tc>
      </w:tr>
      <w:tr w14:paraId="72218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1FEBBD6">
            <w:pPr>
              <w:spacing w:line="400" w:lineRule="exact"/>
              <w:jc w:val="center"/>
              <w:rPr>
                <w:rFonts w:ascii="宋体" w:hAnsi="宋体" w:cs="Arial"/>
                <w:color w:val="auto"/>
              </w:rPr>
            </w:pPr>
          </w:p>
        </w:tc>
        <w:tc>
          <w:tcPr>
            <w:tcW w:w="1439" w:type="dxa"/>
            <w:tcBorders>
              <w:bottom w:val="single" w:color="auto" w:sz="4" w:space="0"/>
            </w:tcBorders>
            <w:vAlign w:val="center"/>
          </w:tcPr>
          <w:p w14:paraId="4E025BB9">
            <w:pPr>
              <w:spacing w:line="400" w:lineRule="exact"/>
              <w:jc w:val="center"/>
              <w:rPr>
                <w:rFonts w:ascii="宋体" w:hAnsi="宋体" w:cs="Arial"/>
                <w:color w:val="auto"/>
              </w:rPr>
            </w:pPr>
          </w:p>
        </w:tc>
        <w:tc>
          <w:tcPr>
            <w:tcW w:w="1319" w:type="dxa"/>
            <w:tcBorders>
              <w:bottom w:val="single" w:color="auto" w:sz="4" w:space="0"/>
            </w:tcBorders>
            <w:vAlign w:val="center"/>
          </w:tcPr>
          <w:p w14:paraId="03E97D57">
            <w:pPr>
              <w:spacing w:line="400" w:lineRule="exact"/>
              <w:jc w:val="center"/>
              <w:rPr>
                <w:rFonts w:ascii="宋体" w:hAnsi="宋体" w:cs="Arial"/>
                <w:color w:val="auto"/>
              </w:rPr>
            </w:pPr>
          </w:p>
        </w:tc>
        <w:tc>
          <w:tcPr>
            <w:tcW w:w="1160" w:type="dxa"/>
            <w:tcBorders>
              <w:bottom w:val="single" w:color="auto" w:sz="4" w:space="0"/>
            </w:tcBorders>
            <w:vAlign w:val="center"/>
          </w:tcPr>
          <w:p w14:paraId="3B9CAF22">
            <w:pPr>
              <w:spacing w:line="400" w:lineRule="exact"/>
              <w:jc w:val="center"/>
              <w:rPr>
                <w:rFonts w:ascii="宋体" w:hAnsi="宋体" w:cs="Arial"/>
                <w:color w:val="auto"/>
              </w:rPr>
            </w:pPr>
          </w:p>
        </w:tc>
        <w:tc>
          <w:tcPr>
            <w:tcW w:w="1421" w:type="dxa"/>
            <w:gridSpan w:val="2"/>
            <w:tcBorders>
              <w:bottom w:val="single" w:color="auto" w:sz="4" w:space="0"/>
              <w:right w:val="single" w:color="auto" w:sz="4" w:space="0"/>
            </w:tcBorders>
            <w:vAlign w:val="center"/>
          </w:tcPr>
          <w:p w14:paraId="3864A42D">
            <w:pPr>
              <w:spacing w:line="400" w:lineRule="exact"/>
              <w:jc w:val="center"/>
              <w:rPr>
                <w:rFonts w:ascii="宋体" w:hAnsi="宋体" w:cs="Arial"/>
                <w:color w:val="auto"/>
              </w:rPr>
            </w:pPr>
          </w:p>
        </w:tc>
        <w:tc>
          <w:tcPr>
            <w:tcW w:w="1614" w:type="dxa"/>
            <w:gridSpan w:val="2"/>
            <w:tcBorders>
              <w:left w:val="single" w:color="auto" w:sz="4" w:space="0"/>
              <w:bottom w:val="single" w:color="auto" w:sz="4" w:space="0"/>
              <w:right w:val="single" w:color="auto" w:sz="4" w:space="0"/>
            </w:tcBorders>
            <w:vAlign w:val="center"/>
          </w:tcPr>
          <w:p w14:paraId="77397C67">
            <w:pPr>
              <w:spacing w:line="400" w:lineRule="exact"/>
              <w:jc w:val="center"/>
              <w:rPr>
                <w:rFonts w:ascii="宋体" w:hAnsi="宋体" w:cs="Arial"/>
                <w:color w:val="auto"/>
              </w:rPr>
            </w:pPr>
          </w:p>
        </w:tc>
        <w:tc>
          <w:tcPr>
            <w:tcW w:w="1387" w:type="dxa"/>
            <w:gridSpan w:val="2"/>
            <w:tcBorders>
              <w:left w:val="single" w:color="auto" w:sz="4" w:space="0"/>
              <w:bottom w:val="single" w:color="auto" w:sz="4" w:space="0"/>
            </w:tcBorders>
            <w:vAlign w:val="center"/>
          </w:tcPr>
          <w:p w14:paraId="56B0659F">
            <w:pPr>
              <w:spacing w:line="400" w:lineRule="exact"/>
              <w:jc w:val="center"/>
              <w:rPr>
                <w:rFonts w:ascii="宋体" w:hAnsi="宋体" w:cs="Arial"/>
                <w:color w:val="auto"/>
              </w:rPr>
            </w:pPr>
          </w:p>
        </w:tc>
      </w:tr>
      <w:tr w14:paraId="5A82F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8A80C8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29891FA6">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2A71FFCB">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3A7D5DD1">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A2C5C2F">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892142E">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53863F5A">
            <w:pPr>
              <w:spacing w:line="400" w:lineRule="exact"/>
              <w:jc w:val="center"/>
              <w:rPr>
                <w:rFonts w:ascii="宋体" w:hAnsi="宋体" w:cs="Arial"/>
                <w:color w:val="auto"/>
              </w:rPr>
            </w:pPr>
          </w:p>
        </w:tc>
      </w:tr>
      <w:tr w14:paraId="6BC70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423B0DF">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3020AF0">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17A830">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433C4B1D">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0DA74288">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79AD676">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17E6E655">
            <w:pPr>
              <w:spacing w:line="400" w:lineRule="exact"/>
              <w:jc w:val="center"/>
              <w:rPr>
                <w:rFonts w:ascii="宋体" w:hAnsi="宋体" w:cs="Arial"/>
                <w:color w:val="auto"/>
              </w:rPr>
            </w:pPr>
          </w:p>
        </w:tc>
      </w:tr>
      <w:tr w14:paraId="78F86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5E444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BDBE6FC">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E3E0B1">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027F2D50">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1EDFF9C">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6B36A79">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395B30EC">
            <w:pPr>
              <w:spacing w:line="400" w:lineRule="exact"/>
              <w:jc w:val="center"/>
              <w:rPr>
                <w:rFonts w:ascii="宋体" w:hAnsi="宋体" w:cs="Arial"/>
                <w:color w:val="auto"/>
              </w:rPr>
            </w:pPr>
          </w:p>
        </w:tc>
      </w:tr>
      <w:tr w14:paraId="3A643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3D04749">
            <w:pPr>
              <w:spacing w:line="400" w:lineRule="exact"/>
              <w:jc w:val="center"/>
              <w:rPr>
                <w:rFonts w:ascii="宋体" w:hAnsi="宋体" w:cs="Arial"/>
                <w:color w:val="auto"/>
              </w:rPr>
            </w:pPr>
          </w:p>
        </w:tc>
        <w:tc>
          <w:tcPr>
            <w:tcW w:w="1439" w:type="dxa"/>
            <w:tcBorders>
              <w:top w:val="single" w:color="auto" w:sz="4" w:space="0"/>
            </w:tcBorders>
            <w:vAlign w:val="center"/>
          </w:tcPr>
          <w:p w14:paraId="10E8377E">
            <w:pPr>
              <w:spacing w:line="400" w:lineRule="exact"/>
              <w:jc w:val="center"/>
              <w:rPr>
                <w:rFonts w:ascii="宋体" w:hAnsi="宋体" w:cs="Arial"/>
                <w:color w:val="auto"/>
              </w:rPr>
            </w:pPr>
          </w:p>
        </w:tc>
        <w:tc>
          <w:tcPr>
            <w:tcW w:w="1319" w:type="dxa"/>
            <w:tcBorders>
              <w:top w:val="single" w:color="auto" w:sz="4" w:space="0"/>
            </w:tcBorders>
            <w:vAlign w:val="center"/>
          </w:tcPr>
          <w:p w14:paraId="11525F30">
            <w:pPr>
              <w:spacing w:line="400" w:lineRule="exact"/>
              <w:jc w:val="center"/>
              <w:rPr>
                <w:rFonts w:ascii="宋体" w:hAnsi="宋体" w:cs="Arial"/>
                <w:color w:val="auto"/>
              </w:rPr>
            </w:pPr>
          </w:p>
        </w:tc>
        <w:tc>
          <w:tcPr>
            <w:tcW w:w="1160" w:type="dxa"/>
            <w:tcBorders>
              <w:top w:val="single" w:color="auto" w:sz="4" w:space="0"/>
            </w:tcBorders>
            <w:vAlign w:val="center"/>
          </w:tcPr>
          <w:p w14:paraId="2408EBAB">
            <w:pPr>
              <w:spacing w:line="400" w:lineRule="exact"/>
              <w:jc w:val="center"/>
              <w:rPr>
                <w:rFonts w:ascii="宋体" w:hAnsi="宋体" w:cs="Arial"/>
                <w:color w:val="auto"/>
              </w:rPr>
            </w:pPr>
          </w:p>
        </w:tc>
        <w:tc>
          <w:tcPr>
            <w:tcW w:w="1421" w:type="dxa"/>
            <w:gridSpan w:val="2"/>
            <w:tcBorders>
              <w:top w:val="single" w:color="auto" w:sz="4" w:space="0"/>
              <w:right w:val="single" w:color="auto" w:sz="4" w:space="0"/>
            </w:tcBorders>
            <w:vAlign w:val="center"/>
          </w:tcPr>
          <w:p w14:paraId="344CE711">
            <w:pPr>
              <w:spacing w:line="400" w:lineRule="exact"/>
              <w:jc w:val="center"/>
              <w:rPr>
                <w:rFonts w:ascii="宋体" w:hAnsi="宋体" w:cs="Arial"/>
                <w:color w:val="auto"/>
              </w:rPr>
            </w:pPr>
          </w:p>
        </w:tc>
        <w:tc>
          <w:tcPr>
            <w:tcW w:w="1614" w:type="dxa"/>
            <w:gridSpan w:val="2"/>
            <w:tcBorders>
              <w:top w:val="single" w:color="auto" w:sz="4" w:space="0"/>
              <w:left w:val="single" w:color="auto" w:sz="4" w:space="0"/>
              <w:right w:val="single" w:color="auto" w:sz="4" w:space="0"/>
            </w:tcBorders>
            <w:vAlign w:val="center"/>
          </w:tcPr>
          <w:p w14:paraId="4DB06C6F">
            <w:pPr>
              <w:spacing w:line="400" w:lineRule="exact"/>
              <w:jc w:val="center"/>
              <w:rPr>
                <w:rFonts w:ascii="宋体" w:hAnsi="宋体" w:cs="Arial"/>
                <w:color w:val="auto"/>
              </w:rPr>
            </w:pPr>
          </w:p>
        </w:tc>
        <w:tc>
          <w:tcPr>
            <w:tcW w:w="1387" w:type="dxa"/>
            <w:gridSpan w:val="2"/>
            <w:tcBorders>
              <w:top w:val="single" w:color="auto" w:sz="4" w:space="0"/>
              <w:left w:val="single" w:color="auto" w:sz="4" w:space="0"/>
            </w:tcBorders>
            <w:vAlign w:val="center"/>
          </w:tcPr>
          <w:p w14:paraId="0988A699">
            <w:pPr>
              <w:spacing w:line="400" w:lineRule="exact"/>
              <w:jc w:val="center"/>
              <w:rPr>
                <w:rFonts w:ascii="宋体" w:hAnsi="宋体" w:cs="Arial"/>
                <w:color w:val="auto"/>
              </w:rPr>
            </w:pPr>
          </w:p>
        </w:tc>
      </w:tr>
    </w:tbl>
    <w:p w14:paraId="44DE8114">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rPr>
      </w:pPr>
      <w:r>
        <w:rPr>
          <w:rFonts w:hint="eastAsia" w:ascii="宋体" w:hAnsi="宋体" w:cs="Arial"/>
          <w:color w:val="auto"/>
          <w:sz w:val="24"/>
        </w:rPr>
        <w:t>注：供应商（仅限于供应商自己的）以上业绩需提供有关书面证明材料。“合同金额”需提供合同复印件；“是否通过验收”需提供合同验收合格或用户单位书面证明材料。</w:t>
      </w:r>
    </w:p>
    <w:p w14:paraId="450E9069">
      <w:pPr>
        <w:spacing w:line="400" w:lineRule="exact"/>
        <w:ind w:left="360"/>
        <w:jc w:val="center"/>
        <w:rPr>
          <w:rFonts w:ascii="宋体" w:hAnsi="宋体" w:cs="Arial"/>
          <w:color w:val="auto"/>
          <w:sz w:val="24"/>
        </w:rPr>
      </w:pPr>
    </w:p>
    <w:p w14:paraId="51F17824">
      <w:pPr>
        <w:jc w:val="left"/>
        <w:rPr>
          <w:rFonts w:ascii="宋体" w:hAnsi="宋体" w:cs="Arial"/>
          <w:color w:val="auto"/>
        </w:rPr>
      </w:pPr>
    </w:p>
    <w:p w14:paraId="5CD6B1F4">
      <w:pPr>
        <w:ind w:firstLine="480" w:firstLineChars="200"/>
        <w:jc w:val="left"/>
        <w:rPr>
          <w:rFonts w:ascii="宋体" w:hAnsi="宋体"/>
          <w:color w:val="auto"/>
          <w:sz w:val="24"/>
        </w:rPr>
      </w:pPr>
      <w:r>
        <w:rPr>
          <w:rFonts w:hint="eastAsia" w:ascii="宋体" w:hAnsi="宋体"/>
          <w:color w:val="auto"/>
          <w:sz w:val="24"/>
        </w:rPr>
        <w:t>供应商名称：XXXX（盖单位公章）</w:t>
      </w:r>
    </w:p>
    <w:p w14:paraId="0DA7B454">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72C414ED">
      <w:pPr>
        <w:ind w:firstLine="480" w:firstLineChars="200"/>
        <w:jc w:val="left"/>
        <w:rPr>
          <w:rFonts w:ascii="宋体" w:hAnsi="宋体"/>
          <w:color w:val="auto"/>
          <w:sz w:val="24"/>
        </w:rPr>
      </w:pPr>
      <w:r>
        <w:rPr>
          <w:rFonts w:hint="eastAsia" w:ascii="宋体" w:hAnsi="宋体"/>
          <w:color w:val="auto"/>
          <w:sz w:val="24"/>
        </w:rPr>
        <w:t>日期: XXXX</w:t>
      </w:r>
    </w:p>
    <w:p w14:paraId="0B1BF3D0">
      <w:pPr>
        <w:jc w:val="left"/>
        <w:rPr>
          <w:rFonts w:ascii="宋体" w:hAnsi="宋体"/>
          <w:color w:val="auto"/>
          <w:sz w:val="24"/>
        </w:rPr>
      </w:pPr>
    </w:p>
    <w:p w14:paraId="386D9D6C">
      <w:pPr>
        <w:pStyle w:val="3"/>
        <w:keepNext w:val="0"/>
        <w:keepLines w:val="0"/>
        <w:spacing w:line="400" w:lineRule="exact"/>
        <w:jc w:val="center"/>
        <w:rPr>
          <w:rFonts w:ascii="黑体" w:hAnsi="宋体"/>
          <w:color w:val="auto"/>
          <w:szCs w:val="28"/>
        </w:rPr>
      </w:pPr>
      <w:bookmarkStart w:id="95" w:name="_Toc307564880"/>
      <w:bookmarkStart w:id="96" w:name="_Toc436404120"/>
      <w:bookmarkStart w:id="97" w:name="_Toc436410129"/>
      <w:bookmarkStart w:id="98" w:name="_Toc436820890"/>
      <w:bookmarkStart w:id="99" w:name="_Toc436385992"/>
    </w:p>
    <w:p w14:paraId="160B6018">
      <w:pPr>
        <w:rPr>
          <w:color w:val="auto"/>
        </w:rPr>
      </w:pPr>
    </w:p>
    <w:bookmarkEnd w:id="95"/>
    <w:bookmarkEnd w:id="96"/>
    <w:bookmarkEnd w:id="97"/>
    <w:bookmarkEnd w:id="98"/>
    <w:bookmarkEnd w:id="99"/>
    <w:p w14:paraId="317CE4B1">
      <w:pPr>
        <w:rPr>
          <w:color w:val="auto"/>
        </w:rPr>
      </w:pPr>
    </w:p>
    <w:p w14:paraId="71B4F645">
      <w:pPr>
        <w:jc w:val="center"/>
        <w:rPr>
          <w:b/>
          <w:color w:val="auto"/>
          <w:sz w:val="32"/>
          <w:szCs w:val="32"/>
        </w:rPr>
      </w:pPr>
      <w:r>
        <w:rPr>
          <w:rFonts w:hint="eastAsia"/>
          <w:b/>
          <w:color w:val="auto"/>
          <w:sz w:val="32"/>
          <w:szCs w:val="32"/>
        </w:rPr>
        <w:br w:type="page"/>
      </w:r>
      <w:r>
        <w:rPr>
          <w:rFonts w:hint="eastAsia"/>
          <w:b/>
          <w:color w:val="auto"/>
          <w:sz w:val="32"/>
          <w:szCs w:val="32"/>
        </w:rPr>
        <w:t>十、供应商本项目管理、技术、服务人员情况表</w:t>
      </w:r>
    </w:p>
    <w:p w14:paraId="6D9B9D3E">
      <w:pPr>
        <w:rPr>
          <w:color w:val="auto"/>
          <w:sz w:val="32"/>
          <w:szCs w:val="32"/>
        </w:rPr>
      </w:pPr>
    </w:p>
    <w:p w14:paraId="28DD41FC">
      <w:pPr>
        <w:rPr>
          <w:color w:val="auto"/>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133C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3A5B700">
            <w:pPr>
              <w:jc w:val="center"/>
              <w:rPr>
                <w:color w:val="auto"/>
                <w:sz w:val="24"/>
              </w:rPr>
            </w:pPr>
            <w:r>
              <w:rPr>
                <w:rFonts w:hint="eastAsia"/>
                <w:color w:val="auto"/>
                <w:sz w:val="24"/>
              </w:rPr>
              <w:t>类别</w:t>
            </w:r>
          </w:p>
        </w:tc>
        <w:tc>
          <w:tcPr>
            <w:tcW w:w="947" w:type="dxa"/>
            <w:vMerge w:val="restart"/>
            <w:vAlign w:val="center"/>
          </w:tcPr>
          <w:p w14:paraId="555CBB6F">
            <w:pPr>
              <w:jc w:val="center"/>
              <w:rPr>
                <w:color w:val="auto"/>
                <w:sz w:val="24"/>
              </w:rPr>
            </w:pPr>
            <w:r>
              <w:rPr>
                <w:rFonts w:hint="eastAsia"/>
                <w:color w:val="auto"/>
                <w:sz w:val="24"/>
              </w:rPr>
              <w:t>职务</w:t>
            </w:r>
          </w:p>
        </w:tc>
        <w:tc>
          <w:tcPr>
            <w:tcW w:w="947" w:type="dxa"/>
            <w:vMerge w:val="restart"/>
            <w:vAlign w:val="center"/>
          </w:tcPr>
          <w:p w14:paraId="49F2801D">
            <w:pPr>
              <w:jc w:val="center"/>
              <w:rPr>
                <w:color w:val="auto"/>
                <w:sz w:val="24"/>
              </w:rPr>
            </w:pPr>
            <w:r>
              <w:rPr>
                <w:rFonts w:hint="eastAsia"/>
                <w:color w:val="auto"/>
                <w:sz w:val="24"/>
              </w:rPr>
              <w:t>姓名</w:t>
            </w:r>
          </w:p>
        </w:tc>
        <w:tc>
          <w:tcPr>
            <w:tcW w:w="947" w:type="dxa"/>
            <w:vMerge w:val="restart"/>
            <w:vAlign w:val="center"/>
          </w:tcPr>
          <w:p w14:paraId="2A3D5BB4">
            <w:pPr>
              <w:jc w:val="center"/>
              <w:rPr>
                <w:color w:val="auto"/>
                <w:sz w:val="24"/>
              </w:rPr>
            </w:pPr>
            <w:r>
              <w:rPr>
                <w:rFonts w:hint="eastAsia"/>
                <w:color w:val="auto"/>
                <w:sz w:val="24"/>
              </w:rPr>
              <w:t>职称</w:t>
            </w:r>
          </w:p>
        </w:tc>
        <w:tc>
          <w:tcPr>
            <w:tcW w:w="947" w:type="dxa"/>
            <w:vMerge w:val="restart"/>
            <w:vAlign w:val="center"/>
          </w:tcPr>
          <w:p w14:paraId="7442B060">
            <w:pPr>
              <w:jc w:val="center"/>
              <w:rPr>
                <w:color w:val="auto"/>
                <w:sz w:val="24"/>
              </w:rPr>
            </w:pPr>
            <w:r>
              <w:rPr>
                <w:rFonts w:hint="eastAsia"/>
                <w:color w:val="auto"/>
                <w:sz w:val="24"/>
              </w:rPr>
              <w:t>常住地</w:t>
            </w:r>
          </w:p>
        </w:tc>
        <w:tc>
          <w:tcPr>
            <w:tcW w:w="3788" w:type="dxa"/>
            <w:gridSpan w:val="4"/>
            <w:vAlign w:val="center"/>
          </w:tcPr>
          <w:p w14:paraId="66D6C469">
            <w:pPr>
              <w:jc w:val="center"/>
              <w:rPr>
                <w:color w:val="auto"/>
                <w:sz w:val="24"/>
              </w:rPr>
            </w:pPr>
            <w:r>
              <w:rPr>
                <w:rFonts w:hint="eastAsia"/>
                <w:color w:val="auto"/>
                <w:sz w:val="24"/>
              </w:rPr>
              <w:t>资格证明（附复印件）</w:t>
            </w:r>
          </w:p>
        </w:tc>
      </w:tr>
      <w:tr w14:paraId="2CC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660FE99">
            <w:pPr>
              <w:jc w:val="center"/>
              <w:rPr>
                <w:color w:val="auto"/>
                <w:sz w:val="24"/>
              </w:rPr>
            </w:pPr>
          </w:p>
        </w:tc>
        <w:tc>
          <w:tcPr>
            <w:tcW w:w="947" w:type="dxa"/>
            <w:vMerge w:val="continue"/>
            <w:vAlign w:val="center"/>
          </w:tcPr>
          <w:p w14:paraId="2A0C0397">
            <w:pPr>
              <w:jc w:val="center"/>
              <w:rPr>
                <w:color w:val="auto"/>
                <w:sz w:val="24"/>
              </w:rPr>
            </w:pPr>
          </w:p>
        </w:tc>
        <w:tc>
          <w:tcPr>
            <w:tcW w:w="947" w:type="dxa"/>
            <w:vMerge w:val="continue"/>
            <w:vAlign w:val="center"/>
          </w:tcPr>
          <w:p w14:paraId="58127B99">
            <w:pPr>
              <w:jc w:val="center"/>
              <w:rPr>
                <w:color w:val="auto"/>
                <w:sz w:val="24"/>
              </w:rPr>
            </w:pPr>
          </w:p>
        </w:tc>
        <w:tc>
          <w:tcPr>
            <w:tcW w:w="947" w:type="dxa"/>
            <w:vMerge w:val="continue"/>
            <w:vAlign w:val="center"/>
          </w:tcPr>
          <w:p w14:paraId="7F669CBF">
            <w:pPr>
              <w:jc w:val="center"/>
              <w:rPr>
                <w:color w:val="auto"/>
                <w:sz w:val="24"/>
              </w:rPr>
            </w:pPr>
          </w:p>
        </w:tc>
        <w:tc>
          <w:tcPr>
            <w:tcW w:w="947" w:type="dxa"/>
            <w:vMerge w:val="continue"/>
            <w:vAlign w:val="center"/>
          </w:tcPr>
          <w:p w14:paraId="39385C46">
            <w:pPr>
              <w:jc w:val="center"/>
              <w:rPr>
                <w:color w:val="auto"/>
                <w:sz w:val="24"/>
              </w:rPr>
            </w:pPr>
          </w:p>
        </w:tc>
        <w:tc>
          <w:tcPr>
            <w:tcW w:w="947" w:type="dxa"/>
            <w:vAlign w:val="center"/>
          </w:tcPr>
          <w:p w14:paraId="083638E4">
            <w:pPr>
              <w:jc w:val="center"/>
              <w:rPr>
                <w:color w:val="auto"/>
                <w:sz w:val="24"/>
              </w:rPr>
            </w:pPr>
            <w:r>
              <w:rPr>
                <w:rFonts w:hint="eastAsia"/>
                <w:color w:val="auto"/>
                <w:sz w:val="24"/>
              </w:rPr>
              <w:t>证书</w:t>
            </w:r>
          </w:p>
          <w:p w14:paraId="253585CB">
            <w:pPr>
              <w:jc w:val="center"/>
              <w:rPr>
                <w:color w:val="auto"/>
                <w:sz w:val="24"/>
              </w:rPr>
            </w:pPr>
            <w:r>
              <w:rPr>
                <w:rFonts w:hint="eastAsia"/>
                <w:color w:val="auto"/>
                <w:sz w:val="24"/>
              </w:rPr>
              <w:t>名称</w:t>
            </w:r>
          </w:p>
        </w:tc>
        <w:tc>
          <w:tcPr>
            <w:tcW w:w="947" w:type="dxa"/>
            <w:vAlign w:val="center"/>
          </w:tcPr>
          <w:p w14:paraId="13022021">
            <w:pPr>
              <w:jc w:val="center"/>
              <w:rPr>
                <w:color w:val="auto"/>
                <w:sz w:val="24"/>
              </w:rPr>
            </w:pPr>
            <w:r>
              <w:rPr>
                <w:rFonts w:hint="eastAsia"/>
                <w:color w:val="auto"/>
                <w:sz w:val="24"/>
              </w:rPr>
              <w:t>级别</w:t>
            </w:r>
          </w:p>
        </w:tc>
        <w:tc>
          <w:tcPr>
            <w:tcW w:w="947" w:type="dxa"/>
            <w:vAlign w:val="center"/>
          </w:tcPr>
          <w:p w14:paraId="3B46D25C">
            <w:pPr>
              <w:jc w:val="center"/>
              <w:rPr>
                <w:color w:val="auto"/>
                <w:sz w:val="24"/>
              </w:rPr>
            </w:pPr>
            <w:r>
              <w:rPr>
                <w:rFonts w:hint="eastAsia"/>
                <w:color w:val="auto"/>
                <w:sz w:val="24"/>
              </w:rPr>
              <w:t>证号</w:t>
            </w:r>
          </w:p>
        </w:tc>
        <w:tc>
          <w:tcPr>
            <w:tcW w:w="947" w:type="dxa"/>
            <w:vAlign w:val="center"/>
          </w:tcPr>
          <w:p w14:paraId="4208A0BF">
            <w:pPr>
              <w:jc w:val="center"/>
              <w:rPr>
                <w:color w:val="auto"/>
                <w:sz w:val="24"/>
              </w:rPr>
            </w:pPr>
            <w:r>
              <w:rPr>
                <w:rFonts w:hint="eastAsia"/>
                <w:color w:val="auto"/>
                <w:sz w:val="24"/>
              </w:rPr>
              <w:t>专业</w:t>
            </w:r>
          </w:p>
        </w:tc>
      </w:tr>
      <w:tr w14:paraId="6FC9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4908EB">
            <w:pPr>
              <w:jc w:val="center"/>
              <w:rPr>
                <w:color w:val="auto"/>
                <w:sz w:val="24"/>
              </w:rPr>
            </w:pPr>
            <w:r>
              <w:rPr>
                <w:rFonts w:hint="eastAsia"/>
                <w:color w:val="auto"/>
                <w:sz w:val="24"/>
              </w:rPr>
              <w:t>管理</w:t>
            </w:r>
          </w:p>
          <w:p w14:paraId="2885A311">
            <w:pPr>
              <w:jc w:val="center"/>
              <w:rPr>
                <w:color w:val="auto"/>
                <w:sz w:val="24"/>
              </w:rPr>
            </w:pPr>
            <w:r>
              <w:rPr>
                <w:rFonts w:hint="eastAsia"/>
                <w:color w:val="auto"/>
                <w:sz w:val="24"/>
              </w:rPr>
              <w:t>人员</w:t>
            </w:r>
          </w:p>
        </w:tc>
        <w:tc>
          <w:tcPr>
            <w:tcW w:w="947" w:type="dxa"/>
          </w:tcPr>
          <w:p w14:paraId="24C857F5">
            <w:pPr>
              <w:rPr>
                <w:color w:val="auto"/>
                <w:sz w:val="24"/>
              </w:rPr>
            </w:pPr>
          </w:p>
        </w:tc>
        <w:tc>
          <w:tcPr>
            <w:tcW w:w="947" w:type="dxa"/>
          </w:tcPr>
          <w:p w14:paraId="5F444CA9">
            <w:pPr>
              <w:rPr>
                <w:color w:val="auto"/>
                <w:sz w:val="24"/>
              </w:rPr>
            </w:pPr>
          </w:p>
        </w:tc>
        <w:tc>
          <w:tcPr>
            <w:tcW w:w="947" w:type="dxa"/>
          </w:tcPr>
          <w:p w14:paraId="0FE310C7">
            <w:pPr>
              <w:rPr>
                <w:color w:val="auto"/>
                <w:sz w:val="24"/>
              </w:rPr>
            </w:pPr>
          </w:p>
        </w:tc>
        <w:tc>
          <w:tcPr>
            <w:tcW w:w="947" w:type="dxa"/>
          </w:tcPr>
          <w:p w14:paraId="559E0C23">
            <w:pPr>
              <w:rPr>
                <w:color w:val="auto"/>
                <w:sz w:val="24"/>
              </w:rPr>
            </w:pPr>
          </w:p>
        </w:tc>
        <w:tc>
          <w:tcPr>
            <w:tcW w:w="947" w:type="dxa"/>
          </w:tcPr>
          <w:p w14:paraId="31F32BA2">
            <w:pPr>
              <w:rPr>
                <w:color w:val="auto"/>
                <w:sz w:val="24"/>
              </w:rPr>
            </w:pPr>
          </w:p>
        </w:tc>
        <w:tc>
          <w:tcPr>
            <w:tcW w:w="947" w:type="dxa"/>
          </w:tcPr>
          <w:p w14:paraId="197197AB">
            <w:pPr>
              <w:rPr>
                <w:color w:val="auto"/>
                <w:sz w:val="24"/>
              </w:rPr>
            </w:pPr>
          </w:p>
        </w:tc>
        <w:tc>
          <w:tcPr>
            <w:tcW w:w="947" w:type="dxa"/>
          </w:tcPr>
          <w:p w14:paraId="4F83C12D">
            <w:pPr>
              <w:rPr>
                <w:color w:val="auto"/>
                <w:sz w:val="24"/>
              </w:rPr>
            </w:pPr>
          </w:p>
        </w:tc>
        <w:tc>
          <w:tcPr>
            <w:tcW w:w="947" w:type="dxa"/>
          </w:tcPr>
          <w:p w14:paraId="7D8BF5F1">
            <w:pPr>
              <w:rPr>
                <w:color w:val="auto"/>
                <w:sz w:val="24"/>
              </w:rPr>
            </w:pPr>
          </w:p>
        </w:tc>
      </w:tr>
      <w:tr w14:paraId="22B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95722D2">
            <w:pPr>
              <w:jc w:val="center"/>
              <w:rPr>
                <w:color w:val="auto"/>
                <w:sz w:val="24"/>
              </w:rPr>
            </w:pPr>
          </w:p>
        </w:tc>
        <w:tc>
          <w:tcPr>
            <w:tcW w:w="947" w:type="dxa"/>
          </w:tcPr>
          <w:p w14:paraId="3D8E7AED">
            <w:pPr>
              <w:rPr>
                <w:color w:val="auto"/>
                <w:sz w:val="24"/>
              </w:rPr>
            </w:pPr>
          </w:p>
        </w:tc>
        <w:tc>
          <w:tcPr>
            <w:tcW w:w="947" w:type="dxa"/>
          </w:tcPr>
          <w:p w14:paraId="4ACDD3DE">
            <w:pPr>
              <w:rPr>
                <w:color w:val="auto"/>
                <w:sz w:val="24"/>
              </w:rPr>
            </w:pPr>
          </w:p>
        </w:tc>
        <w:tc>
          <w:tcPr>
            <w:tcW w:w="947" w:type="dxa"/>
          </w:tcPr>
          <w:p w14:paraId="23353A6A">
            <w:pPr>
              <w:rPr>
                <w:color w:val="auto"/>
                <w:sz w:val="24"/>
              </w:rPr>
            </w:pPr>
          </w:p>
        </w:tc>
        <w:tc>
          <w:tcPr>
            <w:tcW w:w="947" w:type="dxa"/>
          </w:tcPr>
          <w:p w14:paraId="431CDCF5">
            <w:pPr>
              <w:rPr>
                <w:color w:val="auto"/>
                <w:sz w:val="24"/>
              </w:rPr>
            </w:pPr>
          </w:p>
        </w:tc>
        <w:tc>
          <w:tcPr>
            <w:tcW w:w="947" w:type="dxa"/>
          </w:tcPr>
          <w:p w14:paraId="0210A9AD">
            <w:pPr>
              <w:rPr>
                <w:color w:val="auto"/>
                <w:sz w:val="24"/>
              </w:rPr>
            </w:pPr>
          </w:p>
        </w:tc>
        <w:tc>
          <w:tcPr>
            <w:tcW w:w="947" w:type="dxa"/>
          </w:tcPr>
          <w:p w14:paraId="002F03E4">
            <w:pPr>
              <w:rPr>
                <w:color w:val="auto"/>
                <w:sz w:val="24"/>
              </w:rPr>
            </w:pPr>
          </w:p>
        </w:tc>
        <w:tc>
          <w:tcPr>
            <w:tcW w:w="947" w:type="dxa"/>
          </w:tcPr>
          <w:p w14:paraId="07940A38">
            <w:pPr>
              <w:rPr>
                <w:color w:val="auto"/>
                <w:sz w:val="24"/>
              </w:rPr>
            </w:pPr>
          </w:p>
        </w:tc>
        <w:tc>
          <w:tcPr>
            <w:tcW w:w="947" w:type="dxa"/>
          </w:tcPr>
          <w:p w14:paraId="3BE99F1F">
            <w:pPr>
              <w:rPr>
                <w:color w:val="auto"/>
                <w:sz w:val="24"/>
              </w:rPr>
            </w:pPr>
          </w:p>
        </w:tc>
      </w:tr>
      <w:tr w14:paraId="2AB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7B8CE7F">
            <w:pPr>
              <w:jc w:val="center"/>
              <w:rPr>
                <w:color w:val="auto"/>
                <w:sz w:val="24"/>
              </w:rPr>
            </w:pPr>
          </w:p>
        </w:tc>
        <w:tc>
          <w:tcPr>
            <w:tcW w:w="947" w:type="dxa"/>
          </w:tcPr>
          <w:p w14:paraId="23F216B5">
            <w:pPr>
              <w:rPr>
                <w:color w:val="auto"/>
                <w:sz w:val="24"/>
              </w:rPr>
            </w:pPr>
          </w:p>
        </w:tc>
        <w:tc>
          <w:tcPr>
            <w:tcW w:w="947" w:type="dxa"/>
          </w:tcPr>
          <w:p w14:paraId="783C1A86">
            <w:pPr>
              <w:rPr>
                <w:color w:val="auto"/>
                <w:sz w:val="24"/>
              </w:rPr>
            </w:pPr>
          </w:p>
        </w:tc>
        <w:tc>
          <w:tcPr>
            <w:tcW w:w="947" w:type="dxa"/>
          </w:tcPr>
          <w:p w14:paraId="204A9DB4">
            <w:pPr>
              <w:rPr>
                <w:color w:val="auto"/>
                <w:sz w:val="24"/>
              </w:rPr>
            </w:pPr>
          </w:p>
        </w:tc>
        <w:tc>
          <w:tcPr>
            <w:tcW w:w="947" w:type="dxa"/>
          </w:tcPr>
          <w:p w14:paraId="016A2085">
            <w:pPr>
              <w:rPr>
                <w:color w:val="auto"/>
                <w:sz w:val="24"/>
              </w:rPr>
            </w:pPr>
          </w:p>
        </w:tc>
        <w:tc>
          <w:tcPr>
            <w:tcW w:w="947" w:type="dxa"/>
          </w:tcPr>
          <w:p w14:paraId="5EDE84D8">
            <w:pPr>
              <w:rPr>
                <w:color w:val="auto"/>
                <w:sz w:val="24"/>
              </w:rPr>
            </w:pPr>
          </w:p>
        </w:tc>
        <w:tc>
          <w:tcPr>
            <w:tcW w:w="947" w:type="dxa"/>
          </w:tcPr>
          <w:p w14:paraId="6387F3E9">
            <w:pPr>
              <w:rPr>
                <w:color w:val="auto"/>
                <w:sz w:val="24"/>
              </w:rPr>
            </w:pPr>
          </w:p>
        </w:tc>
        <w:tc>
          <w:tcPr>
            <w:tcW w:w="947" w:type="dxa"/>
          </w:tcPr>
          <w:p w14:paraId="3C5CDF9D">
            <w:pPr>
              <w:rPr>
                <w:color w:val="auto"/>
                <w:sz w:val="24"/>
              </w:rPr>
            </w:pPr>
          </w:p>
        </w:tc>
        <w:tc>
          <w:tcPr>
            <w:tcW w:w="947" w:type="dxa"/>
          </w:tcPr>
          <w:p w14:paraId="1FCE5CCB">
            <w:pPr>
              <w:rPr>
                <w:color w:val="auto"/>
                <w:sz w:val="24"/>
              </w:rPr>
            </w:pPr>
          </w:p>
        </w:tc>
      </w:tr>
      <w:tr w14:paraId="75C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54249F7">
            <w:pPr>
              <w:jc w:val="center"/>
              <w:rPr>
                <w:color w:val="auto"/>
                <w:sz w:val="24"/>
              </w:rPr>
            </w:pPr>
            <w:r>
              <w:rPr>
                <w:rFonts w:hint="eastAsia"/>
                <w:color w:val="auto"/>
                <w:sz w:val="24"/>
              </w:rPr>
              <w:t>技术</w:t>
            </w:r>
          </w:p>
          <w:p w14:paraId="2952E3C2">
            <w:pPr>
              <w:jc w:val="center"/>
              <w:rPr>
                <w:color w:val="auto"/>
                <w:sz w:val="24"/>
              </w:rPr>
            </w:pPr>
            <w:r>
              <w:rPr>
                <w:rFonts w:hint="eastAsia"/>
                <w:color w:val="auto"/>
                <w:sz w:val="24"/>
              </w:rPr>
              <w:t>人员</w:t>
            </w:r>
          </w:p>
        </w:tc>
        <w:tc>
          <w:tcPr>
            <w:tcW w:w="947" w:type="dxa"/>
          </w:tcPr>
          <w:p w14:paraId="2553F9E8">
            <w:pPr>
              <w:rPr>
                <w:color w:val="auto"/>
                <w:sz w:val="24"/>
              </w:rPr>
            </w:pPr>
          </w:p>
        </w:tc>
        <w:tc>
          <w:tcPr>
            <w:tcW w:w="947" w:type="dxa"/>
          </w:tcPr>
          <w:p w14:paraId="483B541F">
            <w:pPr>
              <w:rPr>
                <w:color w:val="auto"/>
                <w:sz w:val="24"/>
              </w:rPr>
            </w:pPr>
          </w:p>
        </w:tc>
        <w:tc>
          <w:tcPr>
            <w:tcW w:w="947" w:type="dxa"/>
          </w:tcPr>
          <w:p w14:paraId="3DF30ACD">
            <w:pPr>
              <w:rPr>
                <w:color w:val="auto"/>
                <w:sz w:val="24"/>
              </w:rPr>
            </w:pPr>
          </w:p>
        </w:tc>
        <w:tc>
          <w:tcPr>
            <w:tcW w:w="947" w:type="dxa"/>
          </w:tcPr>
          <w:p w14:paraId="2CB5A3B9">
            <w:pPr>
              <w:rPr>
                <w:color w:val="auto"/>
                <w:sz w:val="24"/>
              </w:rPr>
            </w:pPr>
          </w:p>
        </w:tc>
        <w:tc>
          <w:tcPr>
            <w:tcW w:w="947" w:type="dxa"/>
          </w:tcPr>
          <w:p w14:paraId="6C37CC82">
            <w:pPr>
              <w:rPr>
                <w:color w:val="auto"/>
                <w:sz w:val="24"/>
              </w:rPr>
            </w:pPr>
          </w:p>
        </w:tc>
        <w:tc>
          <w:tcPr>
            <w:tcW w:w="947" w:type="dxa"/>
          </w:tcPr>
          <w:p w14:paraId="4D4037CA">
            <w:pPr>
              <w:rPr>
                <w:color w:val="auto"/>
                <w:sz w:val="24"/>
              </w:rPr>
            </w:pPr>
          </w:p>
        </w:tc>
        <w:tc>
          <w:tcPr>
            <w:tcW w:w="947" w:type="dxa"/>
          </w:tcPr>
          <w:p w14:paraId="3205B96F">
            <w:pPr>
              <w:rPr>
                <w:color w:val="auto"/>
                <w:sz w:val="24"/>
              </w:rPr>
            </w:pPr>
          </w:p>
        </w:tc>
        <w:tc>
          <w:tcPr>
            <w:tcW w:w="947" w:type="dxa"/>
          </w:tcPr>
          <w:p w14:paraId="08BD7937">
            <w:pPr>
              <w:rPr>
                <w:color w:val="auto"/>
                <w:sz w:val="24"/>
              </w:rPr>
            </w:pPr>
          </w:p>
        </w:tc>
      </w:tr>
      <w:tr w14:paraId="74A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8B57766">
            <w:pPr>
              <w:jc w:val="center"/>
              <w:rPr>
                <w:color w:val="auto"/>
                <w:sz w:val="24"/>
              </w:rPr>
            </w:pPr>
          </w:p>
        </w:tc>
        <w:tc>
          <w:tcPr>
            <w:tcW w:w="947" w:type="dxa"/>
          </w:tcPr>
          <w:p w14:paraId="39BC81C3">
            <w:pPr>
              <w:rPr>
                <w:color w:val="auto"/>
                <w:sz w:val="24"/>
              </w:rPr>
            </w:pPr>
          </w:p>
        </w:tc>
        <w:tc>
          <w:tcPr>
            <w:tcW w:w="947" w:type="dxa"/>
          </w:tcPr>
          <w:p w14:paraId="25D4352E">
            <w:pPr>
              <w:rPr>
                <w:color w:val="auto"/>
                <w:sz w:val="24"/>
              </w:rPr>
            </w:pPr>
          </w:p>
        </w:tc>
        <w:tc>
          <w:tcPr>
            <w:tcW w:w="947" w:type="dxa"/>
          </w:tcPr>
          <w:p w14:paraId="66C230EA">
            <w:pPr>
              <w:rPr>
                <w:color w:val="auto"/>
                <w:sz w:val="24"/>
              </w:rPr>
            </w:pPr>
          </w:p>
        </w:tc>
        <w:tc>
          <w:tcPr>
            <w:tcW w:w="947" w:type="dxa"/>
          </w:tcPr>
          <w:p w14:paraId="2C0CD3CA">
            <w:pPr>
              <w:rPr>
                <w:color w:val="auto"/>
                <w:sz w:val="24"/>
              </w:rPr>
            </w:pPr>
          </w:p>
        </w:tc>
        <w:tc>
          <w:tcPr>
            <w:tcW w:w="947" w:type="dxa"/>
          </w:tcPr>
          <w:p w14:paraId="55AE905C">
            <w:pPr>
              <w:rPr>
                <w:color w:val="auto"/>
                <w:sz w:val="24"/>
              </w:rPr>
            </w:pPr>
          </w:p>
        </w:tc>
        <w:tc>
          <w:tcPr>
            <w:tcW w:w="947" w:type="dxa"/>
          </w:tcPr>
          <w:p w14:paraId="1DC734F7">
            <w:pPr>
              <w:rPr>
                <w:color w:val="auto"/>
                <w:sz w:val="24"/>
              </w:rPr>
            </w:pPr>
          </w:p>
        </w:tc>
        <w:tc>
          <w:tcPr>
            <w:tcW w:w="947" w:type="dxa"/>
          </w:tcPr>
          <w:p w14:paraId="06AF2CE9">
            <w:pPr>
              <w:rPr>
                <w:color w:val="auto"/>
                <w:sz w:val="24"/>
              </w:rPr>
            </w:pPr>
          </w:p>
        </w:tc>
        <w:tc>
          <w:tcPr>
            <w:tcW w:w="947" w:type="dxa"/>
          </w:tcPr>
          <w:p w14:paraId="1D79B681">
            <w:pPr>
              <w:rPr>
                <w:color w:val="auto"/>
                <w:sz w:val="24"/>
              </w:rPr>
            </w:pPr>
          </w:p>
        </w:tc>
      </w:tr>
      <w:tr w14:paraId="57BF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7360E66">
            <w:pPr>
              <w:jc w:val="center"/>
              <w:rPr>
                <w:color w:val="auto"/>
                <w:sz w:val="24"/>
              </w:rPr>
            </w:pPr>
          </w:p>
        </w:tc>
        <w:tc>
          <w:tcPr>
            <w:tcW w:w="947" w:type="dxa"/>
          </w:tcPr>
          <w:p w14:paraId="33F63962">
            <w:pPr>
              <w:rPr>
                <w:color w:val="auto"/>
                <w:sz w:val="24"/>
              </w:rPr>
            </w:pPr>
          </w:p>
        </w:tc>
        <w:tc>
          <w:tcPr>
            <w:tcW w:w="947" w:type="dxa"/>
          </w:tcPr>
          <w:p w14:paraId="645638A7">
            <w:pPr>
              <w:rPr>
                <w:color w:val="auto"/>
                <w:sz w:val="24"/>
              </w:rPr>
            </w:pPr>
          </w:p>
        </w:tc>
        <w:tc>
          <w:tcPr>
            <w:tcW w:w="947" w:type="dxa"/>
          </w:tcPr>
          <w:p w14:paraId="6898AAF2">
            <w:pPr>
              <w:rPr>
                <w:color w:val="auto"/>
                <w:sz w:val="24"/>
              </w:rPr>
            </w:pPr>
          </w:p>
        </w:tc>
        <w:tc>
          <w:tcPr>
            <w:tcW w:w="947" w:type="dxa"/>
          </w:tcPr>
          <w:p w14:paraId="1D031732">
            <w:pPr>
              <w:rPr>
                <w:color w:val="auto"/>
                <w:sz w:val="24"/>
              </w:rPr>
            </w:pPr>
          </w:p>
        </w:tc>
        <w:tc>
          <w:tcPr>
            <w:tcW w:w="947" w:type="dxa"/>
          </w:tcPr>
          <w:p w14:paraId="3394FD06">
            <w:pPr>
              <w:rPr>
                <w:color w:val="auto"/>
                <w:sz w:val="24"/>
              </w:rPr>
            </w:pPr>
          </w:p>
        </w:tc>
        <w:tc>
          <w:tcPr>
            <w:tcW w:w="947" w:type="dxa"/>
          </w:tcPr>
          <w:p w14:paraId="4F2F494D">
            <w:pPr>
              <w:rPr>
                <w:color w:val="auto"/>
                <w:sz w:val="24"/>
              </w:rPr>
            </w:pPr>
          </w:p>
        </w:tc>
        <w:tc>
          <w:tcPr>
            <w:tcW w:w="947" w:type="dxa"/>
          </w:tcPr>
          <w:p w14:paraId="70AEB247">
            <w:pPr>
              <w:rPr>
                <w:color w:val="auto"/>
                <w:sz w:val="24"/>
              </w:rPr>
            </w:pPr>
          </w:p>
        </w:tc>
        <w:tc>
          <w:tcPr>
            <w:tcW w:w="947" w:type="dxa"/>
          </w:tcPr>
          <w:p w14:paraId="4C6F983B">
            <w:pPr>
              <w:rPr>
                <w:color w:val="auto"/>
                <w:sz w:val="24"/>
              </w:rPr>
            </w:pPr>
          </w:p>
        </w:tc>
      </w:tr>
      <w:tr w14:paraId="1318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93FE28A">
            <w:pPr>
              <w:jc w:val="center"/>
              <w:rPr>
                <w:color w:val="auto"/>
                <w:sz w:val="24"/>
              </w:rPr>
            </w:pPr>
            <w:r>
              <w:rPr>
                <w:rFonts w:hint="eastAsia"/>
                <w:color w:val="auto"/>
                <w:sz w:val="24"/>
              </w:rPr>
              <w:t>售后服务人员</w:t>
            </w:r>
          </w:p>
        </w:tc>
        <w:tc>
          <w:tcPr>
            <w:tcW w:w="947" w:type="dxa"/>
          </w:tcPr>
          <w:p w14:paraId="10F3B03F">
            <w:pPr>
              <w:rPr>
                <w:color w:val="auto"/>
                <w:sz w:val="24"/>
              </w:rPr>
            </w:pPr>
          </w:p>
        </w:tc>
        <w:tc>
          <w:tcPr>
            <w:tcW w:w="947" w:type="dxa"/>
          </w:tcPr>
          <w:p w14:paraId="5A019166">
            <w:pPr>
              <w:rPr>
                <w:color w:val="auto"/>
                <w:sz w:val="24"/>
              </w:rPr>
            </w:pPr>
          </w:p>
        </w:tc>
        <w:tc>
          <w:tcPr>
            <w:tcW w:w="947" w:type="dxa"/>
          </w:tcPr>
          <w:p w14:paraId="650DA652">
            <w:pPr>
              <w:rPr>
                <w:color w:val="auto"/>
                <w:sz w:val="24"/>
              </w:rPr>
            </w:pPr>
          </w:p>
        </w:tc>
        <w:tc>
          <w:tcPr>
            <w:tcW w:w="947" w:type="dxa"/>
          </w:tcPr>
          <w:p w14:paraId="20AB2067">
            <w:pPr>
              <w:rPr>
                <w:color w:val="auto"/>
                <w:sz w:val="24"/>
              </w:rPr>
            </w:pPr>
          </w:p>
        </w:tc>
        <w:tc>
          <w:tcPr>
            <w:tcW w:w="947" w:type="dxa"/>
          </w:tcPr>
          <w:p w14:paraId="25967B60">
            <w:pPr>
              <w:rPr>
                <w:color w:val="auto"/>
                <w:sz w:val="24"/>
              </w:rPr>
            </w:pPr>
          </w:p>
        </w:tc>
        <w:tc>
          <w:tcPr>
            <w:tcW w:w="947" w:type="dxa"/>
          </w:tcPr>
          <w:p w14:paraId="0AA3F985">
            <w:pPr>
              <w:rPr>
                <w:color w:val="auto"/>
                <w:sz w:val="24"/>
              </w:rPr>
            </w:pPr>
          </w:p>
        </w:tc>
        <w:tc>
          <w:tcPr>
            <w:tcW w:w="947" w:type="dxa"/>
          </w:tcPr>
          <w:p w14:paraId="2911BEA4">
            <w:pPr>
              <w:rPr>
                <w:color w:val="auto"/>
                <w:sz w:val="24"/>
              </w:rPr>
            </w:pPr>
          </w:p>
        </w:tc>
        <w:tc>
          <w:tcPr>
            <w:tcW w:w="947" w:type="dxa"/>
          </w:tcPr>
          <w:p w14:paraId="2A6CF7C5">
            <w:pPr>
              <w:rPr>
                <w:color w:val="auto"/>
                <w:sz w:val="24"/>
              </w:rPr>
            </w:pPr>
          </w:p>
        </w:tc>
      </w:tr>
      <w:tr w14:paraId="095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790671D">
            <w:pPr>
              <w:rPr>
                <w:color w:val="auto"/>
                <w:sz w:val="24"/>
              </w:rPr>
            </w:pPr>
          </w:p>
        </w:tc>
        <w:tc>
          <w:tcPr>
            <w:tcW w:w="947" w:type="dxa"/>
          </w:tcPr>
          <w:p w14:paraId="37339939">
            <w:pPr>
              <w:rPr>
                <w:color w:val="auto"/>
                <w:sz w:val="24"/>
              </w:rPr>
            </w:pPr>
          </w:p>
        </w:tc>
        <w:tc>
          <w:tcPr>
            <w:tcW w:w="947" w:type="dxa"/>
          </w:tcPr>
          <w:p w14:paraId="582E5386">
            <w:pPr>
              <w:rPr>
                <w:color w:val="auto"/>
                <w:sz w:val="24"/>
              </w:rPr>
            </w:pPr>
          </w:p>
        </w:tc>
        <w:tc>
          <w:tcPr>
            <w:tcW w:w="947" w:type="dxa"/>
          </w:tcPr>
          <w:p w14:paraId="3A47A7B4">
            <w:pPr>
              <w:rPr>
                <w:color w:val="auto"/>
                <w:sz w:val="24"/>
              </w:rPr>
            </w:pPr>
          </w:p>
        </w:tc>
        <w:tc>
          <w:tcPr>
            <w:tcW w:w="947" w:type="dxa"/>
          </w:tcPr>
          <w:p w14:paraId="0472D835">
            <w:pPr>
              <w:rPr>
                <w:color w:val="auto"/>
                <w:sz w:val="24"/>
              </w:rPr>
            </w:pPr>
          </w:p>
        </w:tc>
        <w:tc>
          <w:tcPr>
            <w:tcW w:w="947" w:type="dxa"/>
          </w:tcPr>
          <w:p w14:paraId="0B192E3F">
            <w:pPr>
              <w:rPr>
                <w:color w:val="auto"/>
                <w:sz w:val="24"/>
              </w:rPr>
            </w:pPr>
          </w:p>
        </w:tc>
        <w:tc>
          <w:tcPr>
            <w:tcW w:w="947" w:type="dxa"/>
          </w:tcPr>
          <w:p w14:paraId="659B01DD">
            <w:pPr>
              <w:rPr>
                <w:color w:val="auto"/>
                <w:sz w:val="24"/>
              </w:rPr>
            </w:pPr>
          </w:p>
        </w:tc>
        <w:tc>
          <w:tcPr>
            <w:tcW w:w="947" w:type="dxa"/>
          </w:tcPr>
          <w:p w14:paraId="6BBE4226">
            <w:pPr>
              <w:rPr>
                <w:color w:val="auto"/>
                <w:sz w:val="24"/>
              </w:rPr>
            </w:pPr>
          </w:p>
        </w:tc>
        <w:tc>
          <w:tcPr>
            <w:tcW w:w="947" w:type="dxa"/>
          </w:tcPr>
          <w:p w14:paraId="168680CD">
            <w:pPr>
              <w:rPr>
                <w:color w:val="auto"/>
                <w:sz w:val="24"/>
              </w:rPr>
            </w:pPr>
          </w:p>
        </w:tc>
      </w:tr>
      <w:tr w14:paraId="053B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EF0DD27">
            <w:pPr>
              <w:rPr>
                <w:color w:val="auto"/>
                <w:sz w:val="24"/>
              </w:rPr>
            </w:pPr>
          </w:p>
        </w:tc>
        <w:tc>
          <w:tcPr>
            <w:tcW w:w="947" w:type="dxa"/>
          </w:tcPr>
          <w:p w14:paraId="398986A0">
            <w:pPr>
              <w:rPr>
                <w:color w:val="auto"/>
                <w:sz w:val="24"/>
              </w:rPr>
            </w:pPr>
          </w:p>
        </w:tc>
        <w:tc>
          <w:tcPr>
            <w:tcW w:w="947" w:type="dxa"/>
          </w:tcPr>
          <w:p w14:paraId="2A4A77D7">
            <w:pPr>
              <w:rPr>
                <w:color w:val="auto"/>
                <w:sz w:val="24"/>
              </w:rPr>
            </w:pPr>
          </w:p>
        </w:tc>
        <w:tc>
          <w:tcPr>
            <w:tcW w:w="947" w:type="dxa"/>
          </w:tcPr>
          <w:p w14:paraId="49359063">
            <w:pPr>
              <w:rPr>
                <w:color w:val="auto"/>
                <w:sz w:val="24"/>
              </w:rPr>
            </w:pPr>
          </w:p>
        </w:tc>
        <w:tc>
          <w:tcPr>
            <w:tcW w:w="947" w:type="dxa"/>
          </w:tcPr>
          <w:p w14:paraId="752BF9A7">
            <w:pPr>
              <w:rPr>
                <w:color w:val="auto"/>
                <w:sz w:val="24"/>
              </w:rPr>
            </w:pPr>
          </w:p>
        </w:tc>
        <w:tc>
          <w:tcPr>
            <w:tcW w:w="947" w:type="dxa"/>
          </w:tcPr>
          <w:p w14:paraId="4F6AAB57">
            <w:pPr>
              <w:rPr>
                <w:color w:val="auto"/>
                <w:sz w:val="24"/>
              </w:rPr>
            </w:pPr>
          </w:p>
        </w:tc>
        <w:tc>
          <w:tcPr>
            <w:tcW w:w="947" w:type="dxa"/>
          </w:tcPr>
          <w:p w14:paraId="1DB3DCFC">
            <w:pPr>
              <w:rPr>
                <w:color w:val="auto"/>
                <w:sz w:val="24"/>
              </w:rPr>
            </w:pPr>
          </w:p>
        </w:tc>
        <w:tc>
          <w:tcPr>
            <w:tcW w:w="947" w:type="dxa"/>
          </w:tcPr>
          <w:p w14:paraId="406FD156">
            <w:pPr>
              <w:rPr>
                <w:color w:val="auto"/>
                <w:sz w:val="24"/>
              </w:rPr>
            </w:pPr>
          </w:p>
        </w:tc>
        <w:tc>
          <w:tcPr>
            <w:tcW w:w="947" w:type="dxa"/>
          </w:tcPr>
          <w:p w14:paraId="17EB98F5">
            <w:pPr>
              <w:rPr>
                <w:color w:val="auto"/>
                <w:sz w:val="24"/>
              </w:rPr>
            </w:pPr>
          </w:p>
        </w:tc>
      </w:tr>
    </w:tbl>
    <w:p w14:paraId="370502C5">
      <w:pPr>
        <w:rPr>
          <w:rFonts w:ascii="宋体" w:hAnsi="宋体"/>
          <w:color w:val="auto"/>
          <w:sz w:val="24"/>
        </w:rPr>
      </w:pPr>
    </w:p>
    <w:p w14:paraId="3A75E8C0">
      <w:pPr>
        <w:rPr>
          <w:rFonts w:ascii="宋体" w:hAnsi="宋体"/>
          <w:color w:val="auto"/>
          <w:sz w:val="24"/>
        </w:rPr>
      </w:pPr>
    </w:p>
    <w:p w14:paraId="061A7F47">
      <w:pPr>
        <w:rPr>
          <w:rFonts w:ascii="宋体" w:hAnsi="宋体"/>
          <w:color w:val="auto"/>
          <w:sz w:val="24"/>
        </w:rPr>
      </w:pPr>
    </w:p>
    <w:p w14:paraId="7187BF36">
      <w:pPr>
        <w:rPr>
          <w:color w:val="auto"/>
          <w:sz w:val="24"/>
        </w:rPr>
      </w:pPr>
      <w:r>
        <w:rPr>
          <w:rFonts w:hint="eastAsia"/>
          <w:color w:val="auto"/>
          <w:sz w:val="24"/>
        </w:rPr>
        <w:t>供应商名称：XXX（盖单位公章）</w:t>
      </w:r>
    </w:p>
    <w:p w14:paraId="7FB92B8B">
      <w:pPr>
        <w:rPr>
          <w:color w:val="auto"/>
          <w:sz w:val="24"/>
        </w:rPr>
      </w:pPr>
      <w:r>
        <w:rPr>
          <w:rFonts w:hint="eastAsia"/>
          <w:color w:val="auto"/>
          <w:sz w:val="24"/>
        </w:rPr>
        <w:t>法定代表人或授权代表（签字）：XXX</w:t>
      </w:r>
    </w:p>
    <w:p w14:paraId="1164F820">
      <w:pPr>
        <w:rPr>
          <w:color w:val="auto"/>
          <w:sz w:val="24"/>
        </w:rPr>
      </w:pPr>
      <w:r>
        <w:rPr>
          <w:rFonts w:hint="eastAsia"/>
          <w:color w:val="auto"/>
          <w:sz w:val="24"/>
        </w:rPr>
        <w:t>日      期</w:t>
      </w:r>
      <w:r>
        <w:rPr>
          <w:rFonts w:hint="eastAsia" w:ascii="宋体" w:hAnsi="宋体"/>
          <w:color w:val="auto"/>
          <w:sz w:val="24"/>
        </w:rPr>
        <w:t>：</w:t>
      </w:r>
      <w:r>
        <w:rPr>
          <w:rFonts w:hint="eastAsia"/>
          <w:color w:val="auto"/>
          <w:sz w:val="24"/>
        </w:rPr>
        <w:t xml:space="preserve"> XXX</w:t>
      </w:r>
    </w:p>
    <w:p w14:paraId="5C0A5C0D">
      <w:pPr>
        <w:rPr>
          <w:color w:val="auto"/>
          <w:sz w:val="32"/>
          <w:szCs w:val="32"/>
        </w:rPr>
      </w:pPr>
    </w:p>
    <w:p w14:paraId="2390864B">
      <w:pPr>
        <w:rPr>
          <w:color w:val="auto"/>
          <w:sz w:val="32"/>
          <w:szCs w:val="32"/>
        </w:rPr>
      </w:pPr>
    </w:p>
    <w:p w14:paraId="5F8CF044">
      <w:pPr>
        <w:rPr>
          <w:color w:val="auto"/>
          <w:sz w:val="32"/>
          <w:szCs w:val="32"/>
        </w:rPr>
      </w:pPr>
    </w:p>
    <w:p w14:paraId="38D53521">
      <w:pPr>
        <w:widowControl/>
        <w:spacing w:line="360" w:lineRule="atLeast"/>
        <w:jc w:val="center"/>
        <w:outlineLvl w:val="1"/>
        <w:rPr>
          <w:rFonts w:ascii="宋体" w:hAnsi="宋体"/>
          <w:b/>
          <w:color w:val="auto"/>
          <w:sz w:val="32"/>
          <w:szCs w:val="32"/>
        </w:rPr>
      </w:pPr>
      <w:r>
        <w:rPr>
          <w:rFonts w:hint="eastAsia"/>
          <w:color w:val="auto"/>
          <w:sz w:val="32"/>
          <w:szCs w:val="32"/>
        </w:rPr>
        <w:br w:type="page"/>
      </w:r>
      <w:r>
        <w:rPr>
          <w:rFonts w:hint="eastAsia" w:ascii="宋体" w:hAnsi="宋体"/>
          <w:b/>
          <w:color w:val="auto"/>
          <w:sz w:val="32"/>
          <w:szCs w:val="32"/>
        </w:rPr>
        <w:t>十一、供应商诚信情况承诺函</w:t>
      </w:r>
    </w:p>
    <w:p w14:paraId="0B57F818">
      <w:pPr>
        <w:spacing w:line="360" w:lineRule="auto"/>
        <w:rPr>
          <w:rFonts w:ascii="宋体" w:hAnsi="宋体"/>
          <w:bCs/>
          <w:color w:val="auto"/>
          <w:sz w:val="24"/>
        </w:rPr>
      </w:pPr>
    </w:p>
    <w:p w14:paraId="1872FE49">
      <w:pPr>
        <w:spacing w:line="360" w:lineRule="auto"/>
        <w:rPr>
          <w:rFonts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w:t>
      </w:r>
      <w:r>
        <w:rPr>
          <w:rFonts w:hint="eastAsia" w:ascii="宋体" w:hAnsi="宋体"/>
          <w:bCs/>
          <w:color w:val="auto"/>
          <w:sz w:val="24"/>
        </w:rPr>
        <w:t xml:space="preserve">（采购代理机构）： </w:t>
      </w:r>
    </w:p>
    <w:p w14:paraId="3387D96E">
      <w:pPr>
        <w:spacing w:line="360" w:lineRule="auto"/>
        <w:rPr>
          <w:rFonts w:ascii="宋体" w:hAnsi="宋体"/>
          <w:color w:val="auto"/>
          <w:sz w:val="24"/>
        </w:rPr>
      </w:pPr>
      <w:r>
        <w:rPr>
          <w:rFonts w:hint="eastAsia" w:ascii="宋体" w:hAnsi="宋体"/>
          <w:bCs/>
          <w:color w:val="auto"/>
          <w:sz w:val="24"/>
        </w:rPr>
        <w:t xml:space="preserve">    本单位</w:t>
      </w:r>
      <w:r>
        <w:rPr>
          <w:rFonts w:hint="eastAsia" w:ascii="宋体" w:hAnsi="宋体"/>
          <w:bCs/>
          <w:color w:val="auto"/>
          <w:sz w:val="24"/>
          <w:u w:val="single"/>
        </w:rPr>
        <w:t xml:space="preserve">                   </w:t>
      </w:r>
      <w:r>
        <w:rPr>
          <w:rFonts w:hint="eastAsia" w:ascii="宋体" w:hAnsi="宋体"/>
          <w:bCs/>
          <w:color w:val="auto"/>
          <w:sz w:val="24"/>
        </w:rPr>
        <w:t>（供应商名称）参加“</w:t>
      </w:r>
      <w:r>
        <w:rPr>
          <w:rFonts w:hint="eastAsia" w:ascii="宋体" w:hAnsi="宋体"/>
          <w:bCs/>
          <w:color w:val="auto"/>
          <w:sz w:val="24"/>
          <w:u w:val="single"/>
        </w:rPr>
        <w:t xml:space="preserve">                </w:t>
      </w:r>
      <w:r>
        <w:rPr>
          <w:rFonts w:hint="eastAsia" w:ascii="宋体" w:hAnsi="宋体"/>
          <w:bCs/>
          <w:color w:val="auto"/>
          <w:sz w:val="24"/>
        </w:rPr>
        <w:t>”项目（项目编号：</w:t>
      </w:r>
      <w:r>
        <w:rPr>
          <w:rFonts w:hint="eastAsia" w:ascii="宋体" w:hAnsi="宋体"/>
          <w:bCs/>
          <w:color w:val="auto"/>
          <w:sz w:val="24"/>
          <w:u w:val="single"/>
        </w:rPr>
        <w:t xml:space="preserve">                </w:t>
      </w:r>
      <w:r>
        <w:rPr>
          <w:rFonts w:hint="eastAsia" w:ascii="宋体" w:hAnsi="宋体"/>
          <w:bCs/>
          <w:color w:val="auto"/>
          <w:sz w:val="24"/>
        </w:rPr>
        <w:t>）的政府采购活动，</w:t>
      </w:r>
      <w:r>
        <w:rPr>
          <w:rFonts w:hint="eastAsia" w:ascii="宋体" w:hAnsi="宋体"/>
          <w:color w:val="auto"/>
          <w:sz w:val="24"/>
        </w:rPr>
        <w:t>现根据《四川省公共资源交易领域严重失信联合惩戒实施办法》(川发改信用规(2019]405号)、《关于对政府采购领域严重违法失信主体开展联合惩戒的合作备忘录》〈发改财金(2018]1614号)的相关规定，针</w:t>
      </w:r>
      <w:r>
        <w:rPr>
          <w:rFonts w:hint="eastAsia" w:ascii="宋体" w:hAnsi="宋体"/>
          <w:bCs/>
          <w:color w:val="auto"/>
          <w:sz w:val="24"/>
        </w:rPr>
        <w:t>对本单位的诚信情况作出以下承诺：</w:t>
      </w:r>
    </w:p>
    <w:p w14:paraId="47222EB7">
      <w:pPr>
        <w:spacing w:line="360" w:lineRule="auto"/>
        <w:ind w:firstLine="480" w:firstLineChars="200"/>
        <w:rPr>
          <w:rFonts w:ascii="宋体" w:hAnsi="宋体"/>
          <w:bCs/>
          <w:color w:val="auto"/>
          <w:sz w:val="24"/>
        </w:rPr>
      </w:pPr>
    </w:p>
    <w:p w14:paraId="67B6F5D8">
      <w:pPr>
        <w:spacing w:line="360" w:lineRule="auto"/>
        <w:ind w:firstLine="480" w:firstLineChars="200"/>
        <w:rPr>
          <w:rFonts w:ascii="宋体" w:hAnsi="宋体"/>
          <w:bCs/>
          <w:color w:val="auto"/>
          <w:sz w:val="24"/>
        </w:rPr>
      </w:pPr>
      <w:r>
        <w:rPr>
          <w:rFonts w:hint="eastAsia" w:ascii="宋体" w:hAnsi="宋体"/>
          <w:bCs/>
          <w:color w:val="auto"/>
          <w:sz w:val="24"/>
        </w:rPr>
        <w:t>我单位具有</w:t>
      </w:r>
      <w:r>
        <w:rPr>
          <w:rFonts w:hint="eastAsia" w:ascii="宋体" w:hAnsi="宋体"/>
          <w:color w:val="auto"/>
          <w:sz w:val="24"/>
        </w:rPr>
        <w:t>《四川省公共资源交易领域严重失信联合惩戒实施办法》(川发改信用规(2019]405号)、《关于对政府采购领域严重违法失信主体开展联合惩戒的合作备忘录》〈发改财金(2018]1614号)所规定的失信行为</w:t>
      </w:r>
      <w:r>
        <w:rPr>
          <w:rFonts w:hint="eastAsia" w:ascii="宋体" w:hAnsi="宋体"/>
          <w:color w:val="auto"/>
          <w:sz w:val="24"/>
          <w:u w:val="single"/>
        </w:rPr>
        <w:t xml:space="preserve">      </w:t>
      </w:r>
      <w:r>
        <w:rPr>
          <w:rFonts w:hint="eastAsia" w:ascii="宋体" w:hAnsi="宋体"/>
          <w:color w:val="auto"/>
          <w:sz w:val="24"/>
        </w:rPr>
        <w:t>次（填写失信行为的次数时，建议使用大写数字，如零、壹、贰、叁、肆等。）；</w:t>
      </w:r>
      <w:r>
        <w:rPr>
          <w:rFonts w:hint="eastAsia" w:ascii="宋体" w:hAnsi="宋体"/>
          <w:bCs/>
          <w:color w:val="auto"/>
          <w:sz w:val="24"/>
        </w:rPr>
        <w:t>（仅限投标截止当日仍在有效期的次数）</w:t>
      </w:r>
    </w:p>
    <w:p w14:paraId="453C812F">
      <w:pPr>
        <w:spacing w:line="360" w:lineRule="auto"/>
        <w:ind w:firstLine="480" w:firstLineChars="200"/>
        <w:rPr>
          <w:rFonts w:ascii="宋体" w:hAnsi="宋体"/>
          <w:color w:val="auto"/>
          <w:sz w:val="24"/>
        </w:rPr>
      </w:pPr>
    </w:p>
    <w:p w14:paraId="65879134">
      <w:pPr>
        <w:spacing w:line="360" w:lineRule="auto"/>
        <w:ind w:firstLine="480" w:firstLineChars="200"/>
        <w:rPr>
          <w:rFonts w:ascii="宋体" w:hAnsi="宋体"/>
          <w:color w:val="auto"/>
          <w:sz w:val="24"/>
        </w:rPr>
      </w:pPr>
      <w:r>
        <w:rPr>
          <w:rFonts w:hint="eastAsia" w:ascii="宋体" w:hAnsi="宋体"/>
          <w:color w:val="auto"/>
          <w:sz w:val="24"/>
        </w:rPr>
        <w:t>我</w:t>
      </w:r>
      <w:r>
        <w:rPr>
          <w:rFonts w:hint="eastAsia" w:ascii="宋体" w:hAnsi="宋体"/>
          <w:bCs/>
          <w:color w:val="auto"/>
          <w:sz w:val="24"/>
        </w:rPr>
        <w:t>单位</w:t>
      </w:r>
      <w:r>
        <w:rPr>
          <w:rFonts w:hint="eastAsia" w:ascii="宋体" w:hAnsi="宋体"/>
          <w:color w:val="auto"/>
          <w:sz w:val="24"/>
        </w:rPr>
        <w:t>对以上填写信息的真实性负责。如有不实，本</w:t>
      </w:r>
      <w:r>
        <w:rPr>
          <w:rFonts w:hint="eastAsia" w:ascii="宋体" w:hAnsi="宋体"/>
          <w:bCs/>
          <w:color w:val="auto"/>
          <w:sz w:val="24"/>
        </w:rPr>
        <w:t>单位</w:t>
      </w:r>
      <w:r>
        <w:rPr>
          <w:rFonts w:hint="eastAsia" w:ascii="宋体" w:hAnsi="宋体"/>
          <w:color w:val="auto"/>
          <w:sz w:val="24"/>
        </w:rPr>
        <w:t>愿承担由此产生的一切法律责任和后果。</w:t>
      </w:r>
    </w:p>
    <w:p w14:paraId="028B832A">
      <w:pPr>
        <w:spacing w:line="360" w:lineRule="auto"/>
        <w:rPr>
          <w:rFonts w:ascii="宋体" w:hAnsi="宋体"/>
          <w:bCs/>
          <w:color w:val="auto"/>
          <w:sz w:val="24"/>
        </w:rPr>
      </w:pPr>
    </w:p>
    <w:p w14:paraId="7FCF6D6C">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供应商名称：</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（单位公章）。</w:t>
      </w:r>
    </w:p>
    <w:p w14:paraId="5FE90B9F">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法定代表人/单位负责人或授权代表（签字或加盖个人印章）：</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5C60B56">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 xml:space="preserve">日期: </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6E5A0D4">
      <w:pPr>
        <w:spacing w:line="360" w:lineRule="auto"/>
        <w:rPr>
          <w:rFonts w:ascii="宋体" w:hAnsi="宋体"/>
          <w:bCs/>
          <w:color w:val="auto"/>
          <w:sz w:val="24"/>
        </w:rPr>
      </w:pPr>
    </w:p>
    <w:p w14:paraId="678F3273">
      <w:pPr>
        <w:spacing w:line="360" w:lineRule="auto"/>
        <w:rPr>
          <w:rFonts w:ascii="宋体" w:hAnsi="宋体"/>
          <w:bCs/>
          <w:color w:val="auto"/>
          <w:sz w:val="24"/>
        </w:rPr>
      </w:pPr>
      <w:r>
        <w:rPr>
          <w:rFonts w:hint="eastAsia" w:ascii="宋体" w:hAnsi="宋体"/>
          <w:bCs/>
          <w:color w:val="auto"/>
          <w:sz w:val="24"/>
        </w:rPr>
        <w:t>注：</w:t>
      </w:r>
    </w:p>
    <w:p w14:paraId="52BADE2B">
      <w:pPr>
        <w:rPr>
          <w:rFonts w:ascii="宋体" w:hAnsi="宋体"/>
          <w:bCs/>
          <w:color w:val="auto"/>
          <w:sz w:val="24"/>
        </w:rPr>
      </w:pPr>
      <w:r>
        <w:rPr>
          <w:rFonts w:hint="eastAsia" w:ascii="宋体" w:hAnsi="宋体"/>
          <w:bCs/>
          <w:color w:val="auto"/>
          <w:sz w:val="24"/>
        </w:rPr>
        <w:t>1、本表格式及内容仅供参考，供应商也可提供自己的格式；</w:t>
      </w:r>
    </w:p>
    <w:p w14:paraId="543D0265">
      <w:pPr>
        <w:rPr>
          <w:rFonts w:ascii="宋体" w:hAnsi="宋体"/>
          <w:bCs/>
          <w:color w:val="auto"/>
          <w:sz w:val="24"/>
        </w:rPr>
      </w:pPr>
      <w:r>
        <w:rPr>
          <w:rFonts w:hint="eastAsia" w:ascii="宋体" w:hAnsi="宋体"/>
          <w:bCs/>
          <w:color w:val="auto"/>
          <w:sz w:val="24"/>
        </w:rPr>
        <w:t>2、供应商存在以上所述失信行为的，将按照</w:t>
      </w:r>
      <w:r>
        <w:rPr>
          <w:rFonts w:hint="eastAsia" w:ascii="宋体" w:hAnsi="宋体"/>
          <w:color w:val="auto"/>
          <w:sz w:val="24"/>
        </w:rPr>
        <w:t>第二章供应商须知附表的要求进行处理；</w:t>
      </w:r>
    </w:p>
    <w:p w14:paraId="4BA5AA93">
      <w:pPr>
        <w:rPr>
          <w:rFonts w:ascii="宋体" w:hAnsi="宋体"/>
          <w:color w:val="auto"/>
          <w:kern w:val="0"/>
          <w:sz w:val="24"/>
        </w:rPr>
      </w:pPr>
      <w:r>
        <w:rPr>
          <w:rFonts w:hint="eastAsia" w:ascii="宋体" w:hAnsi="宋体"/>
          <w:bCs/>
          <w:color w:val="auto"/>
          <w:sz w:val="24"/>
        </w:rPr>
        <w:t>3、</w:t>
      </w:r>
      <w:r>
        <w:rPr>
          <w:rFonts w:ascii="宋体" w:hAnsi="宋体"/>
          <w:bCs/>
          <w:color w:val="auto"/>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rPr>
        <w:t>确了有效期的，不再重复计算。</w:t>
      </w:r>
    </w:p>
    <w:p w14:paraId="4ECC88A1">
      <w:pPr>
        <w:rPr>
          <w:rFonts w:ascii="宋体" w:hAnsi="宋体"/>
          <w:bCs/>
          <w:color w:val="auto"/>
          <w:sz w:val="24"/>
        </w:rPr>
      </w:pPr>
      <w:r>
        <w:rPr>
          <w:rFonts w:hint="eastAsia" w:ascii="宋体" w:hAnsi="宋体"/>
          <w:color w:val="auto"/>
          <w:kern w:val="0"/>
          <w:sz w:val="24"/>
        </w:rPr>
        <w:t>4、</w:t>
      </w:r>
      <w:r>
        <w:rPr>
          <w:rFonts w:hint="eastAsia" w:ascii="宋体" w:hAnsi="宋体"/>
          <w:bCs/>
          <w:color w:val="auto"/>
          <w:sz w:val="24"/>
        </w:rPr>
        <w:t>供应商的失信行为受到行政处罚或司法惩处的，评审时不再对其以价格加成进行惩戒。</w:t>
      </w:r>
    </w:p>
    <w:p w14:paraId="501B2BBE">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二</w:t>
      </w:r>
      <w:r>
        <w:rPr>
          <w:rFonts w:hint="eastAsia" w:ascii="宋体" w:hAnsi="宋体"/>
          <w:b/>
          <w:color w:val="auto"/>
          <w:sz w:val="32"/>
          <w:szCs w:val="32"/>
        </w:rPr>
        <w:t>、关于采购代理服务费的支付承诺</w:t>
      </w:r>
    </w:p>
    <w:p w14:paraId="18583872">
      <w:pPr>
        <w:widowControl/>
        <w:spacing w:line="360" w:lineRule="auto"/>
        <w:jc w:val="left"/>
        <w:outlineLvl w:val="1"/>
        <w:rPr>
          <w:rFonts w:hint="eastAsia" w:ascii="宋体" w:hAnsi="宋体"/>
          <w:color w:val="auto"/>
          <w:sz w:val="24"/>
          <w:u w:val="single"/>
        </w:rPr>
      </w:pPr>
    </w:p>
    <w:p w14:paraId="32D9D9D6">
      <w:pPr>
        <w:widowControl/>
        <w:spacing w:line="360" w:lineRule="auto"/>
        <w:jc w:val="left"/>
        <w:outlineLvl w:val="1"/>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（采购代理机构名称）：</w:t>
      </w:r>
    </w:p>
    <w:p w14:paraId="55069C55">
      <w:pPr>
        <w:widowControl/>
        <w:spacing w:line="360" w:lineRule="auto"/>
        <w:ind w:firstLine="480" w:firstLineChars="200"/>
        <w:jc w:val="left"/>
        <w:outlineLvl w:val="1"/>
        <w:rPr>
          <w:rFonts w:ascii="宋体" w:hAnsi="宋体"/>
          <w:color w:val="auto"/>
          <w:sz w:val="24"/>
        </w:rPr>
      </w:pPr>
      <w:r>
        <w:rPr>
          <w:rFonts w:hint="eastAsia" w:ascii="宋体" w:hAnsi="宋体"/>
          <w:color w:val="auto"/>
          <w:sz w:val="24"/>
        </w:rPr>
        <w:t>我公司作为本次采购项目的供应商，参与贵单位组织的“</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）采购活动，若我公司有幸成交，我公司承诺在领取成交通知书的同时，向贵公司一次性支付</w:t>
      </w:r>
      <w:r>
        <w:rPr>
          <w:rFonts w:hint="eastAsia" w:ascii="宋体" w:hAnsi="宋体"/>
          <w:color w:val="auto"/>
          <w:sz w:val="24"/>
          <w:lang w:val="en-US" w:eastAsia="zh-CN"/>
        </w:rPr>
        <w:t>询价通知书</w:t>
      </w:r>
      <w:r>
        <w:rPr>
          <w:rFonts w:hint="eastAsia" w:ascii="宋体" w:hAnsi="宋体"/>
          <w:color w:val="auto"/>
          <w:sz w:val="24"/>
        </w:rPr>
        <w:t>规定的采购代理服务费。如因我公司自身原因造成取消成交资格或自愿放弃成交资格的，我公司支付的采购代理服务费不予退还，由此造成的损失由我方自行承担。</w:t>
      </w:r>
    </w:p>
    <w:p w14:paraId="07EBC9EA">
      <w:pPr>
        <w:spacing w:line="360" w:lineRule="auto"/>
        <w:ind w:firstLine="480" w:firstLineChars="200"/>
        <w:rPr>
          <w:rFonts w:ascii="宋体" w:hAnsi="宋体"/>
          <w:color w:val="auto"/>
          <w:sz w:val="24"/>
        </w:rPr>
      </w:pPr>
      <w:r>
        <w:rPr>
          <w:rFonts w:hint="eastAsia" w:ascii="宋体" w:hAnsi="宋体"/>
          <w:color w:val="auto"/>
          <w:sz w:val="24"/>
        </w:rPr>
        <w:t>特此承诺。</w:t>
      </w:r>
    </w:p>
    <w:p w14:paraId="6FC112BA">
      <w:pPr>
        <w:spacing w:line="360" w:lineRule="auto"/>
        <w:jc w:val="center"/>
        <w:rPr>
          <w:rFonts w:ascii="宋体" w:hAnsi="宋体"/>
          <w:b/>
          <w:color w:val="auto"/>
          <w:sz w:val="24"/>
        </w:rPr>
      </w:pPr>
    </w:p>
    <w:p w14:paraId="0433DFBE">
      <w:pPr>
        <w:rPr>
          <w:rFonts w:hint="eastAsia"/>
          <w:color w:val="auto"/>
          <w:sz w:val="24"/>
          <w:highlight w:val="none"/>
        </w:rPr>
      </w:pPr>
      <w:r>
        <w:rPr>
          <w:rFonts w:hint="eastAsia"/>
          <w:color w:val="auto"/>
          <w:sz w:val="24"/>
          <w:highlight w:val="none"/>
        </w:rPr>
        <w:t>供应商名称：XXX（盖单位公章）</w:t>
      </w:r>
    </w:p>
    <w:p w14:paraId="6CB71EE7">
      <w:pPr>
        <w:rPr>
          <w:rFonts w:hint="eastAsia"/>
          <w:color w:val="auto"/>
          <w:sz w:val="24"/>
          <w:highlight w:val="none"/>
        </w:rPr>
      </w:pPr>
      <w:r>
        <w:rPr>
          <w:rFonts w:hint="eastAsia"/>
          <w:color w:val="auto"/>
          <w:sz w:val="24"/>
          <w:highlight w:val="none"/>
        </w:rPr>
        <w:t>法定代表人或授权代表（签字）：XXX</w:t>
      </w:r>
    </w:p>
    <w:p w14:paraId="6F919AA4">
      <w:pPr>
        <w:rPr>
          <w:rFonts w:hint="eastAsia"/>
          <w:color w:val="auto"/>
          <w:sz w:val="24"/>
          <w:highlight w:val="none"/>
        </w:rPr>
      </w:pPr>
      <w:r>
        <w:rPr>
          <w:rFonts w:hint="eastAsia"/>
          <w:color w:val="auto"/>
          <w:sz w:val="24"/>
          <w:highlight w:val="none"/>
        </w:rPr>
        <w:t>日      期</w:t>
      </w:r>
      <w:r>
        <w:rPr>
          <w:rFonts w:hint="eastAsia" w:ascii="宋体" w:hAnsi="宋体"/>
          <w:color w:val="auto"/>
          <w:sz w:val="24"/>
          <w:highlight w:val="none"/>
        </w:rPr>
        <w:t>：XXXX</w:t>
      </w:r>
    </w:p>
    <w:p w14:paraId="46F95C8A">
      <w:pPr>
        <w:spacing w:line="360" w:lineRule="auto"/>
        <w:rPr>
          <w:rFonts w:ascii="宋体" w:hAnsi="宋体"/>
          <w:b/>
          <w:color w:val="auto"/>
          <w:sz w:val="32"/>
          <w:szCs w:val="32"/>
        </w:rPr>
      </w:pPr>
    </w:p>
    <w:p w14:paraId="4E745B0F">
      <w:pPr>
        <w:pStyle w:val="163"/>
        <w:rPr>
          <w:rFonts w:hAnsi="宋体"/>
          <w:color w:val="auto"/>
        </w:rPr>
      </w:pPr>
    </w:p>
    <w:p w14:paraId="2F214DBE">
      <w:pPr>
        <w:pStyle w:val="163"/>
        <w:rPr>
          <w:rFonts w:hAnsi="宋体"/>
          <w:color w:val="auto"/>
        </w:rPr>
      </w:pPr>
      <w:r>
        <w:rPr>
          <w:rFonts w:hint="eastAsia" w:hAnsi="宋体"/>
          <w:color w:val="auto"/>
        </w:rPr>
        <w:t>注：适用于第二章供应商须知附表中规定采购代理服务费由成交人支付，由采购人支付的，可不提供此承诺。</w:t>
      </w:r>
    </w:p>
    <w:p w14:paraId="507C346F">
      <w:pPr>
        <w:spacing w:line="360" w:lineRule="auto"/>
        <w:jc w:val="left"/>
        <w:rPr>
          <w:rFonts w:ascii="宋体" w:hAnsi="宋体"/>
          <w:b/>
          <w:color w:val="auto"/>
          <w:sz w:val="32"/>
          <w:szCs w:val="32"/>
        </w:rPr>
      </w:pPr>
    </w:p>
    <w:p w14:paraId="42EE29FC">
      <w:pPr>
        <w:spacing w:line="360" w:lineRule="auto"/>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三</w:t>
      </w:r>
      <w:r>
        <w:rPr>
          <w:rFonts w:hint="eastAsia" w:ascii="宋体" w:hAnsi="宋体"/>
          <w:b/>
          <w:color w:val="auto"/>
          <w:sz w:val="32"/>
          <w:szCs w:val="32"/>
        </w:rPr>
        <w:t>、其他材料</w:t>
      </w:r>
    </w:p>
    <w:p w14:paraId="13CBF766">
      <w:pPr>
        <w:widowControl/>
        <w:spacing w:line="480" w:lineRule="auto"/>
        <w:ind w:firstLine="470" w:firstLineChars="196"/>
        <w:jc w:val="left"/>
        <w:outlineLvl w:val="1"/>
        <w:rPr>
          <w:rFonts w:ascii="宋体" w:hAnsi="宋体"/>
          <w:color w:val="auto"/>
          <w:sz w:val="24"/>
        </w:rPr>
      </w:pPr>
    </w:p>
    <w:p w14:paraId="132A4F34">
      <w:pPr>
        <w:widowControl/>
        <w:spacing w:line="480" w:lineRule="auto"/>
        <w:ind w:firstLine="470" w:firstLineChars="196"/>
        <w:jc w:val="left"/>
        <w:outlineLvl w:val="1"/>
        <w:rPr>
          <w:rFonts w:ascii="宋体" w:hAnsi="宋体"/>
          <w:color w:val="auto"/>
          <w:sz w:val="24"/>
        </w:rPr>
      </w:pPr>
    </w:p>
    <w:p w14:paraId="184AD178">
      <w:pPr>
        <w:widowControl/>
        <w:spacing w:line="480" w:lineRule="auto"/>
        <w:ind w:firstLine="470" w:firstLineChars="196"/>
        <w:jc w:val="left"/>
        <w:outlineLvl w:val="1"/>
        <w:rPr>
          <w:rFonts w:ascii="宋体" w:hAnsi="宋体"/>
          <w:color w:val="auto"/>
          <w:sz w:val="24"/>
        </w:rPr>
      </w:pPr>
    </w:p>
    <w:p w14:paraId="5709C0D6">
      <w:pPr>
        <w:widowControl/>
        <w:spacing w:line="480" w:lineRule="auto"/>
        <w:ind w:firstLine="470" w:firstLineChars="196"/>
        <w:jc w:val="left"/>
        <w:outlineLvl w:val="1"/>
        <w:rPr>
          <w:rFonts w:ascii="宋体" w:hAnsi="宋体"/>
          <w:color w:val="auto"/>
          <w:sz w:val="24"/>
        </w:rPr>
      </w:pPr>
    </w:p>
    <w:p w14:paraId="106F7196">
      <w:pPr>
        <w:widowControl/>
        <w:spacing w:line="480" w:lineRule="auto"/>
        <w:ind w:firstLine="470" w:firstLineChars="196"/>
        <w:jc w:val="left"/>
        <w:outlineLvl w:val="1"/>
        <w:rPr>
          <w:rFonts w:ascii="宋体" w:hAnsi="宋体"/>
          <w:color w:val="auto"/>
          <w:sz w:val="24"/>
        </w:rPr>
      </w:pPr>
    </w:p>
    <w:p w14:paraId="6C09DCB5">
      <w:pPr>
        <w:widowControl/>
        <w:spacing w:line="480" w:lineRule="auto"/>
        <w:ind w:firstLine="470" w:firstLineChars="196"/>
        <w:jc w:val="left"/>
        <w:outlineLvl w:val="1"/>
        <w:rPr>
          <w:rFonts w:ascii="宋体" w:hAnsi="宋体"/>
          <w:color w:val="auto"/>
          <w:sz w:val="24"/>
        </w:rPr>
      </w:pPr>
    </w:p>
    <w:p w14:paraId="530369EA">
      <w:pPr>
        <w:widowControl/>
        <w:spacing w:line="480" w:lineRule="auto"/>
        <w:ind w:firstLine="470" w:firstLineChars="196"/>
        <w:jc w:val="left"/>
        <w:outlineLvl w:val="1"/>
        <w:rPr>
          <w:rFonts w:ascii="宋体" w:hAnsi="宋体"/>
          <w:color w:val="auto"/>
          <w:sz w:val="24"/>
        </w:rPr>
      </w:pPr>
    </w:p>
    <w:p w14:paraId="4D648782">
      <w:pPr>
        <w:widowControl/>
        <w:spacing w:line="480" w:lineRule="auto"/>
        <w:ind w:firstLine="470" w:firstLineChars="196"/>
        <w:jc w:val="left"/>
        <w:outlineLvl w:val="1"/>
        <w:rPr>
          <w:rFonts w:ascii="宋体" w:hAnsi="宋体"/>
          <w:color w:val="auto"/>
          <w:sz w:val="24"/>
        </w:rPr>
      </w:pPr>
      <w:r>
        <w:rPr>
          <w:rFonts w:hint="eastAsia" w:ascii="宋体" w:hAnsi="宋体"/>
          <w:color w:val="auto"/>
          <w:sz w:val="24"/>
        </w:rPr>
        <w:t>注：供应商在响应文件中可以提供以上本章格式未列明其他材料。</w:t>
      </w:r>
    </w:p>
    <w:p w14:paraId="53295808">
      <w:pPr>
        <w:pStyle w:val="163"/>
        <w:rPr>
          <w:rFonts w:hAnsi="宋体"/>
          <w:color w:val="auto"/>
        </w:rPr>
      </w:pPr>
    </w:p>
    <w:p w14:paraId="50D80A7E">
      <w:pPr>
        <w:pStyle w:val="163"/>
        <w:rPr>
          <w:rFonts w:hAnsi="宋体"/>
          <w:color w:val="auto"/>
        </w:rPr>
      </w:pPr>
    </w:p>
    <w:p w14:paraId="66A9D507">
      <w:pPr>
        <w:pStyle w:val="163"/>
        <w:rPr>
          <w:rFonts w:hAnsi="宋体"/>
          <w:color w:val="auto"/>
        </w:rPr>
      </w:pPr>
    </w:p>
    <w:p w14:paraId="420A0463">
      <w:pPr>
        <w:pStyle w:val="163"/>
        <w:rPr>
          <w:rFonts w:hAnsi="宋体"/>
          <w:color w:val="auto"/>
        </w:rPr>
      </w:pPr>
    </w:p>
    <w:p w14:paraId="7D564D3D">
      <w:pPr>
        <w:pStyle w:val="163"/>
        <w:rPr>
          <w:rFonts w:hAnsi="宋体"/>
          <w:color w:val="auto"/>
        </w:rPr>
      </w:pPr>
    </w:p>
    <w:p w14:paraId="22951D3E">
      <w:pPr>
        <w:widowControl/>
        <w:jc w:val="left"/>
        <w:rPr>
          <w:rFonts w:ascii="宋体" w:hAnsi="宋体"/>
          <w:color w:val="auto"/>
        </w:rPr>
      </w:pPr>
    </w:p>
    <w:p w14:paraId="3BDB6C4C">
      <w:pPr>
        <w:spacing w:line="360" w:lineRule="auto"/>
        <w:jc w:val="center"/>
        <w:rPr>
          <w:rFonts w:ascii="宋体" w:hAnsi="宋体"/>
          <w:b/>
          <w:color w:val="auto"/>
          <w:sz w:val="32"/>
          <w:szCs w:val="32"/>
        </w:rPr>
      </w:pPr>
    </w:p>
    <w:p w14:paraId="37CC0B96">
      <w:pPr>
        <w:widowControl/>
        <w:jc w:val="left"/>
        <w:rPr>
          <w:rFonts w:ascii="宋体" w:hAnsi="宋体"/>
          <w:b/>
          <w:color w:val="auto"/>
          <w:sz w:val="32"/>
          <w:szCs w:val="32"/>
        </w:rPr>
      </w:pPr>
      <w:r>
        <w:rPr>
          <w:rFonts w:ascii="宋体" w:hAnsi="宋体"/>
          <w:b/>
          <w:color w:val="auto"/>
          <w:sz w:val="32"/>
          <w:szCs w:val="32"/>
        </w:rPr>
        <w:br w:type="page"/>
      </w:r>
    </w:p>
    <w:p w14:paraId="71D29696">
      <w:pPr>
        <w:spacing w:line="360" w:lineRule="auto"/>
        <w:jc w:val="center"/>
        <w:rPr>
          <w:rFonts w:ascii="宋体" w:hAnsi="宋体"/>
          <w:b/>
          <w:color w:val="auto"/>
          <w:sz w:val="32"/>
          <w:szCs w:val="32"/>
        </w:rPr>
      </w:pPr>
      <w:r>
        <w:rPr>
          <w:rFonts w:hint="eastAsia" w:ascii="宋体" w:hAnsi="宋体"/>
          <w:b/>
          <w:color w:val="auto"/>
          <w:sz w:val="32"/>
          <w:szCs w:val="32"/>
        </w:rPr>
        <w:t>十</w:t>
      </w:r>
      <w:r>
        <w:rPr>
          <w:rFonts w:hint="eastAsia" w:ascii="宋体" w:hAnsi="宋体"/>
          <w:b/>
          <w:color w:val="auto"/>
          <w:sz w:val="32"/>
          <w:szCs w:val="32"/>
          <w:lang w:val="en-US" w:eastAsia="zh-CN"/>
        </w:rPr>
        <w:t>四</w:t>
      </w:r>
      <w:r>
        <w:rPr>
          <w:rFonts w:hint="eastAsia" w:ascii="宋体" w:hAnsi="宋体"/>
          <w:b/>
          <w:color w:val="auto"/>
          <w:sz w:val="32"/>
          <w:szCs w:val="32"/>
        </w:rPr>
        <w:t>、第</w:t>
      </w:r>
      <w:r>
        <w:rPr>
          <w:rFonts w:hint="eastAsia" w:ascii="宋体" w:hAnsi="宋体"/>
          <w:b/>
          <w:color w:val="auto"/>
          <w:sz w:val="32"/>
          <w:szCs w:val="32"/>
          <w:u w:val="single"/>
        </w:rPr>
        <w:t xml:space="preserve"> 二 </w:t>
      </w:r>
      <w:r>
        <w:rPr>
          <w:rFonts w:hint="eastAsia" w:ascii="宋体" w:hAnsi="宋体"/>
          <w:b/>
          <w:color w:val="auto"/>
          <w:sz w:val="32"/>
          <w:szCs w:val="32"/>
        </w:rPr>
        <w:t>轮报价表</w:t>
      </w:r>
    </w:p>
    <w:p w14:paraId="584E4C8F">
      <w:pPr>
        <w:pStyle w:val="163"/>
        <w:rPr>
          <w:rFonts w:hint="eastAsia" w:hAnsi="宋体" w:eastAsia="宋体"/>
          <w:color w:val="auto"/>
          <w:lang w:val="en-US" w:eastAsia="zh-CN"/>
        </w:rPr>
      </w:pPr>
      <w:r>
        <w:rPr>
          <w:rFonts w:hint="eastAsia" w:ascii="宋体" w:hAnsi="宋体"/>
          <w:color w:val="auto"/>
          <w:sz w:val="24"/>
        </w:rPr>
        <w:t>项目名称</w:t>
      </w:r>
      <w:r>
        <w:rPr>
          <w:rFonts w:hint="eastAsia" w:ascii="宋体" w:hAnsi="宋体"/>
          <w:color w:val="auto"/>
          <w:sz w:val="24"/>
          <w:lang w:eastAsia="zh-CN"/>
        </w:rPr>
        <w:t>：</w:t>
      </w:r>
    </w:p>
    <w:tbl>
      <w:tblPr>
        <w:tblStyle w:val="42"/>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95"/>
        <w:gridCol w:w="2180"/>
        <w:gridCol w:w="2491"/>
      </w:tblGrid>
      <w:tr w14:paraId="258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086C8A99">
            <w:pPr>
              <w:spacing w:line="240" w:lineRule="auto"/>
              <w:jc w:val="center"/>
              <w:rPr>
                <w:color w:val="auto"/>
                <w:sz w:val="24"/>
              </w:rPr>
            </w:pPr>
            <w:r>
              <w:rPr>
                <w:rFonts w:hint="eastAsia"/>
                <w:color w:val="auto"/>
                <w:sz w:val="24"/>
              </w:rPr>
              <w:t>序号</w:t>
            </w:r>
          </w:p>
        </w:tc>
        <w:tc>
          <w:tcPr>
            <w:tcW w:w="2595" w:type="dxa"/>
            <w:vAlign w:val="center"/>
          </w:tcPr>
          <w:p w14:paraId="543B957B">
            <w:pPr>
              <w:spacing w:line="240" w:lineRule="auto"/>
              <w:jc w:val="center"/>
              <w:rPr>
                <w:color w:val="auto"/>
                <w:sz w:val="24"/>
              </w:rPr>
            </w:pPr>
            <w:r>
              <w:rPr>
                <w:rFonts w:hint="eastAsia"/>
                <w:color w:val="auto"/>
                <w:sz w:val="24"/>
              </w:rPr>
              <w:t>货物（设备）名称</w:t>
            </w:r>
          </w:p>
        </w:tc>
        <w:tc>
          <w:tcPr>
            <w:tcW w:w="2180" w:type="dxa"/>
            <w:vAlign w:val="center"/>
          </w:tcPr>
          <w:p w14:paraId="05282BD1">
            <w:pPr>
              <w:spacing w:line="240" w:lineRule="auto"/>
              <w:jc w:val="center"/>
              <w:rPr>
                <w:color w:val="auto"/>
                <w:sz w:val="24"/>
              </w:rPr>
            </w:pPr>
            <w:r>
              <w:rPr>
                <w:rFonts w:hint="eastAsia"/>
                <w:color w:val="auto"/>
                <w:sz w:val="24"/>
              </w:rPr>
              <w:t>单价（元）</w:t>
            </w:r>
          </w:p>
        </w:tc>
        <w:tc>
          <w:tcPr>
            <w:tcW w:w="2491" w:type="dxa"/>
            <w:vAlign w:val="center"/>
          </w:tcPr>
          <w:p w14:paraId="157ABB71">
            <w:pPr>
              <w:spacing w:line="240" w:lineRule="auto"/>
              <w:ind w:left="355" w:hanging="355" w:hangingChars="148"/>
              <w:jc w:val="center"/>
              <w:rPr>
                <w:color w:val="auto"/>
                <w:sz w:val="24"/>
              </w:rPr>
            </w:pPr>
            <w:r>
              <w:rPr>
                <w:rFonts w:hint="eastAsia"/>
                <w:color w:val="auto"/>
                <w:sz w:val="24"/>
              </w:rPr>
              <w:t>备注</w:t>
            </w:r>
          </w:p>
        </w:tc>
      </w:tr>
      <w:tr w14:paraId="381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1752A4EC">
            <w:pPr>
              <w:spacing w:line="240" w:lineRule="auto"/>
              <w:jc w:val="center"/>
              <w:rPr>
                <w:color w:val="auto"/>
                <w:sz w:val="24"/>
              </w:rPr>
            </w:pPr>
          </w:p>
        </w:tc>
        <w:tc>
          <w:tcPr>
            <w:tcW w:w="2595" w:type="dxa"/>
            <w:vAlign w:val="center"/>
          </w:tcPr>
          <w:p w14:paraId="6B4FE38C">
            <w:pPr>
              <w:spacing w:line="240" w:lineRule="auto"/>
              <w:jc w:val="center"/>
              <w:rPr>
                <w:color w:val="auto"/>
                <w:sz w:val="24"/>
              </w:rPr>
            </w:pPr>
          </w:p>
        </w:tc>
        <w:tc>
          <w:tcPr>
            <w:tcW w:w="2180" w:type="dxa"/>
            <w:vAlign w:val="center"/>
          </w:tcPr>
          <w:p w14:paraId="12336432">
            <w:pPr>
              <w:spacing w:line="240" w:lineRule="auto"/>
              <w:jc w:val="center"/>
              <w:rPr>
                <w:color w:val="auto"/>
                <w:sz w:val="24"/>
              </w:rPr>
            </w:pPr>
          </w:p>
        </w:tc>
        <w:tc>
          <w:tcPr>
            <w:tcW w:w="2491" w:type="dxa"/>
            <w:vAlign w:val="center"/>
          </w:tcPr>
          <w:p w14:paraId="00AB42C1">
            <w:pPr>
              <w:spacing w:line="240" w:lineRule="auto"/>
              <w:jc w:val="center"/>
              <w:rPr>
                <w:color w:val="auto"/>
                <w:sz w:val="24"/>
              </w:rPr>
            </w:pPr>
          </w:p>
        </w:tc>
      </w:tr>
      <w:tr w14:paraId="387C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51" w:type="dxa"/>
            <w:vAlign w:val="center"/>
          </w:tcPr>
          <w:p w14:paraId="1F0D3645">
            <w:pPr>
              <w:spacing w:line="240" w:lineRule="auto"/>
              <w:jc w:val="center"/>
              <w:rPr>
                <w:color w:val="auto"/>
                <w:sz w:val="24"/>
              </w:rPr>
            </w:pPr>
          </w:p>
        </w:tc>
        <w:tc>
          <w:tcPr>
            <w:tcW w:w="2595" w:type="dxa"/>
            <w:vAlign w:val="center"/>
          </w:tcPr>
          <w:p w14:paraId="5CABF4BE">
            <w:pPr>
              <w:spacing w:line="240" w:lineRule="auto"/>
              <w:jc w:val="center"/>
              <w:rPr>
                <w:color w:val="auto"/>
                <w:sz w:val="24"/>
              </w:rPr>
            </w:pPr>
          </w:p>
        </w:tc>
        <w:tc>
          <w:tcPr>
            <w:tcW w:w="2180" w:type="dxa"/>
            <w:vAlign w:val="center"/>
          </w:tcPr>
          <w:p w14:paraId="1D0AE52B">
            <w:pPr>
              <w:spacing w:line="240" w:lineRule="auto"/>
              <w:jc w:val="center"/>
              <w:rPr>
                <w:color w:val="auto"/>
                <w:sz w:val="24"/>
              </w:rPr>
            </w:pPr>
          </w:p>
        </w:tc>
        <w:tc>
          <w:tcPr>
            <w:tcW w:w="2491" w:type="dxa"/>
            <w:vAlign w:val="center"/>
          </w:tcPr>
          <w:p w14:paraId="7160BDFB">
            <w:pPr>
              <w:spacing w:line="240" w:lineRule="auto"/>
              <w:jc w:val="center"/>
              <w:rPr>
                <w:color w:val="auto"/>
                <w:sz w:val="24"/>
              </w:rPr>
            </w:pPr>
          </w:p>
        </w:tc>
      </w:tr>
      <w:tr w14:paraId="494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51" w:type="dxa"/>
            <w:vAlign w:val="center"/>
          </w:tcPr>
          <w:p w14:paraId="4853D35D">
            <w:pPr>
              <w:spacing w:line="240" w:lineRule="auto"/>
              <w:jc w:val="center"/>
              <w:rPr>
                <w:rFonts w:hint="eastAsia" w:eastAsia="宋体"/>
                <w:color w:val="auto"/>
                <w:sz w:val="24"/>
                <w:lang w:eastAsia="zh-CN"/>
              </w:rPr>
            </w:pPr>
            <w:r>
              <w:rPr>
                <w:rFonts w:hint="eastAsia"/>
                <w:color w:val="auto"/>
                <w:sz w:val="24"/>
                <w:lang w:eastAsia="zh-CN"/>
              </w:rPr>
              <w:t>……</w:t>
            </w:r>
          </w:p>
        </w:tc>
        <w:tc>
          <w:tcPr>
            <w:tcW w:w="2595" w:type="dxa"/>
            <w:vAlign w:val="center"/>
          </w:tcPr>
          <w:p w14:paraId="2E2E6569">
            <w:pPr>
              <w:spacing w:line="240" w:lineRule="auto"/>
              <w:jc w:val="center"/>
              <w:rPr>
                <w:color w:val="auto"/>
                <w:sz w:val="24"/>
              </w:rPr>
            </w:pPr>
          </w:p>
        </w:tc>
        <w:tc>
          <w:tcPr>
            <w:tcW w:w="2180" w:type="dxa"/>
            <w:vAlign w:val="center"/>
          </w:tcPr>
          <w:p w14:paraId="240FECCD">
            <w:pPr>
              <w:spacing w:line="240" w:lineRule="auto"/>
              <w:jc w:val="center"/>
              <w:rPr>
                <w:color w:val="auto"/>
                <w:sz w:val="24"/>
              </w:rPr>
            </w:pPr>
          </w:p>
        </w:tc>
        <w:tc>
          <w:tcPr>
            <w:tcW w:w="2491" w:type="dxa"/>
            <w:vAlign w:val="center"/>
          </w:tcPr>
          <w:p w14:paraId="360A39EF">
            <w:pPr>
              <w:spacing w:line="240" w:lineRule="auto"/>
              <w:jc w:val="center"/>
              <w:rPr>
                <w:color w:val="auto"/>
                <w:sz w:val="24"/>
              </w:rPr>
            </w:pPr>
          </w:p>
        </w:tc>
      </w:tr>
      <w:tr w14:paraId="32E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717" w:type="dxa"/>
            <w:gridSpan w:val="4"/>
            <w:vAlign w:val="center"/>
          </w:tcPr>
          <w:p w14:paraId="5D623FD7">
            <w:pPr>
              <w:spacing w:line="240" w:lineRule="auto"/>
              <w:jc w:val="left"/>
              <w:rPr>
                <w:color w:val="auto"/>
                <w:sz w:val="24"/>
              </w:rPr>
            </w:pPr>
            <w:r>
              <w:rPr>
                <w:rFonts w:hint="eastAsia"/>
                <w:color w:val="auto"/>
                <w:sz w:val="24"/>
                <w:lang w:val="en-US" w:eastAsia="zh-CN"/>
              </w:rPr>
              <w:t>下浮比例：XX.XX%（保留2位小数）</w:t>
            </w:r>
          </w:p>
        </w:tc>
      </w:tr>
    </w:tbl>
    <w:p w14:paraId="0DD9B78F">
      <w:pPr>
        <w:pStyle w:val="163"/>
        <w:rPr>
          <w:rFonts w:hAnsi="宋体"/>
          <w:color w:val="auto"/>
        </w:rPr>
      </w:pPr>
    </w:p>
    <w:p w14:paraId="7B3C4001">
      <w:pPr>
        <w:adjustRightInd w:val="0"/>
        <w:spacing w:line="360" w:lineRule="auto"/>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p>
    <w:p w14:paraId="7DCAACBD">
      <w:pPr>
        <w:adjustRightInd w:val="0"/>
        <w:spacing w:line="360" w:lineRule="auto"/>
        <w:ind w:firstLine="480" w:firstLineChars="200"/>
        <w:jc w:val="left"/>
        <w:rPr>
          <w:rFonts w:ascii="宋体" w:hAnsi="宋体"/>
          <w:color w:val="auto"/>
          <w:sz w:val="24"/>
        </w:rPr>
      </w:pPr>
      <w:r>
        <w:rPr>
          <w:rFonts w:hint="eastAsia" w:ascii="宋体" w:hAnsi="宋体"/>
          <w:color w:val="auto"/>
          <w:sz w:val="24"/>
        </w:rPr>
        <w:t>法定代表人/单位负责人或授权代表（签字）：</w:t>
      </w:r>
      <w:r>
        <w:rPr>
          <w:rFonts w:hint="eastAsia" w:ascii="宋体" w:hAnsi="宋体"/>
          <w:color w:val="auto"/>
          <w:sz w:val="24"/>
          <w:u w:val="single"/>
        </w:rPr>
        <w:t xml:space="preserve">               </w:t>
      </w:r>
    </w:p>
    <w:p w14:paraId="2DB9AFB6">
      <w:pPr>
        <w:pStyle w:val="12"/>
        <w:spacing w:line="360" w:lineRule="auto"/>
        <w:ind w:firstLine="480"/>
        <w:rPr>
          <w:rFonts w:ascii="宋体" w:hAnsi="宋体"/>
          <w:color w:val="auto"/>
          <w:u w:val="single"/>
        </w:rPr>
      </w:pPr>
      <w:r>
        <w:rPr>
          <w:rFonts w:hint="eastAsia" w:ascii="宋体" w:hAnsi="宋体"/>
          <w:color w:val="auto"/>
        </w:rPr>
        <w:t>日期：</w:t>
      </w:r>
      <w:r>
        <w:rPr>
          <w:rFonts w:hint="eastAsia" w:ascii="宋体" w:hAnsi="宋体"/>
          <w:color w:val="auto"/>
          <w:u w:val="single"/>
        </w:rPr>
        <w:t xml:space="preserve">                 </w:t>
      </w:r>
    </w:p>
    <w:p w14:paraId="09683F84">
      <w:pPr>
        <w:pStyle w:val="163"/>
        <w:rPr>
          <w:rFonts w:hAnsi="宋体"/>
          <w:color w:val="auto"/>
        </w:rPr>
      </w:pPr>
    </w:p>
    <w:p w14:paraId="64034FF9">
      <w:pPr>
        <w:pStyle w:val="163"/>
        <w:rPr>
          <w:rFonts w:hAnsi="宋体"/>
          <w:color w:val="auto"/>
        </w:rPr>
      </w:pPr>
    </w:p>
    <w:p w14:paraId="724CF0E0">
      <w:pPr>
        <w:pStyle w:val="163"/>
        <w:rPr>
          <w:rFonts w:hAnsi="宋体"/>
          <w:color w:val="auto"/>
        </w:rPr>
      </w:pPr>
    </w:p>
    <w:p w14:paraId="6180AD3B">
      <w:pPr>
        <w:spacing w:line="400" w:lineRule="exact"/>
        <w:rPr>
          <w:rFonts w:ascii="宋体" w:hAnsi="宋体" w:cs="宋体"/>
          <w:color w:val="auto"/>
          <w:sz w:val="24"/>
        </w:rPr>
      </w:pPr>
      <w:r>
        <w:rPr>
          <w:rFonts w:hint="eastAsia" w:ascii="宋体" w:hAnsi="宋体" w:cs="宋体"/>
          <w:color w:val="auto"/>
          <w:sz w:val="24"/>
        </w:rPr>
        <w:t>注：</w:t>
      </w:r>
    </w:p>
    <w:p w14:paraId="2BC2FF1A">
      <w:pPr>
        <w:spacing w:line="400" w:lineRule="exact"/>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第</w:t>
      </w:r>
      <w:r>
        <w:rPr>
          <w:rFonts w:hint="eastAsia" w:ascii="宋体" w:hAnsi="宋体" w:cs="宋体"/>
          <w:b/>
          <w:color w:val="auto"/>
          <w:sz w:val="24"/>
          <w:u w:val="single"/>
        </w:rPr>
        <w:t xml:space="preserve"> 二 </w:t>
      </w:r>
      <w:r>
        <w:rPr>
          <w:rFonts w:hint="eastAsia" w:ascii="宋体" w:hAnsi="宋体" w:cs="宋体"/>
          <w:b/>
          <w:color w:val="auto"/>
          <w:sz w:val="24"/>
        </w:rPr>
        <w:t>轮报价表不需要封装在响应文件中</w:t>
      </w:r>
      <w:r>
        <w:rPr>
          <w:rFonts w:hint="eastAsia" w:ascii="宋体" w:hAnsi="宋体" w:cs="宋体"/>
          <w:color w:val="auto"/>
          <w:sz w:val="24"/>
        </w:rPr>
        <w:t>；</w:t>
      </w:r>
    </w:p>
    <w:p w14:paraId="7D123003">
      <w:pPr>
        <w:spacing w:line="400" w:lineRule="exact"/>
        <w:rPr>
          <w:rFonts w:ascii="宋体" w:hAnsi="宋体" w:cs="宋体"/>
          <w:color w:val="auto"/>
          <w:sz w:val="24"/>
        </w:rPr>
      </w:pPr>
      <w:r>
        <w:rPr>
          <w:rFonts w:hint="eastAsia" w:ascii="宋体" w:hAnsi="宋体" w:cs="宋体"/>
          <w:color w:val="auto"/>
          <w:sz w:val="24"/>
        </w:rPr>
        <w:t>2、第</w:t>
      </w:r>
      <w:r>
        <w:rPr>
          <w:rFonts w:hint="eastAsia" w:ascii="宋体" w:hAnsi="宋体" w:cs="宋体"/>
          <w:color w:val="auto"/>
          <w:sz w:val="24"/>
          <w:u w:val="single"/>
        </w:rPr>
        <w:t xml:space="preserve"> 二 </w:t>
      </w:r>
      <w:r>
        <w:rPr>
          <w:rFonts w:hint="eastAsia" w:ascii="宋体" w:hAnsi="宋体" w:cs="宋体"/>
          <w:color w:val="auto"/>
          <w:sz w:val="24"/>
        </w:rPr>
        <w:t>轮报价表是谈判结束后，供应商填写，由法定代表人/单位负责人或授权代表签字后密封递交给采购代理机构工作人员，由其收集齐后集中递交谈判小组；</w:t>
      </w:r>
    </w:p>
    <w:p w14:paraId="3B6E4E47">
      <w:pPr>
        <w:spacing w:line="400" w:lineRule="exact"/>
        <w:rPr>
          <w:rFonts w:ascii="宋体" w:hAnsi="宋体" w:cs="宋体"/>
          <w:color w:val="auto"/>
          <w:sz w:val="24"/>
        </w:rPr>
      </w:pPr>
      <w:r>
        <w:rPr>
          <w:rFonts w:hint="eastAsia" w:ascii="宋体" w:hAnsi="宋体" w:cs="宋体"/>
          <w:color w:val="auto"/>
          <w:sz w:val="24"/>
        </w:rPr>
        <w:t>3、第</w:t>
      </w:r>
      <w:r>
        <w:rPr>
          <w:rFonts w:hint="eastAsia" w:ascii="宋体" w:hAnsi="宋体" w:cs="宋体"/>
          <w:color w:val="auto"/>
          <w:sz w:val="24"/>
          <w:u w:val="single"/>
        </w:rPr>
        <w:t xml:space="preserve"> 二 </w:t>
      </w:r>
      <w:r>
        <w:rPr>
          <w:rFonts w:hint="eastAsia" w:ascii="宋体" w:hAnsi="宋体" w:cs="宋体"/>
          <w:color w:val="auto"/>
          <w:sz w:val="24"/>
        </w:rPr>
        <w:t>轮报价表供应商可在要求报价时手工填写，也可提前填写；</w:t>
      </w:r>
    </w:p>
    <w:p w14:paraId="6ED0460B">
      <w:pPr>
        <w:rPr>
          <w:color w:val="auto"/>
          <w:sz w:val="32"/>
          <w:szCs w:val="32"/>
        </w:rPr>
      </w:pPr>
      <w:r>
        <w:rPr>
          <w:rFonts w:hint="eastAsia" w:ascii="宋体" w:hAnsi="宋体" w:cs="宋体"/>
          <w:color w:val="auto"/>
          <w:sz w:val="24"/>
        </w:rPr>
        <w:t>4、第</w:t>
      </w:r>
      <w:r>
        <w:rPr>
          <w:rFonts w:hint="eastAsia" w:ascii="宋体" w:hAnsi="宋体" w:cs="宋体"/>
          <w:color w:val="auto"/>
          <w:sz w:val="24"/>
          <w:u w:val="single"/>
        </w:rPr>
        <w:t xml:space="preserve"> 二 </w:t>
      </w:r>
      <w:r>
        <w:rPr>
          <w:rFonts w:hint="eastAsia" w:ascii="宋体" w:hAnsi="宋体" w:cs="宋体"/>
          <w:color w:val="auto"/>
          <w:sz w:val="24"/>
        </w:rPr>
        <w:t>轮报价包括谈判文件规定的全部相应内容的报价，</w:t>
      </w:r>
      <w:r>
        <w:rPr>
          <w:rFonts w:hint="eastAsia" w:ascii="宋体" w:hAnsi="宋体" w:cs="宋体"/>
          <w:color w:val="auto"/>
          <w:sz w:val="24"/>
          <w:lang w:val="en-US" w:eastAsia="zh-CN"/>
        </w:rPr>
        <w:t>单价保留2位小数</w:t>
      </w:r>
      <w:r>
        <w:rPr>
          <w:rFonts w:hint="eastAsia" w:ascii="宋体" w:hAnsi="宋体" w:cs="宋体"/>
          <w:color w:val="auto"/>
          <w:sz w:val="24"/>
        </w:rPr>
        <w:t>。</w:t>
      </w:r>
    </w:p>
    <w:bookmarkEnd w:id="21"/>
    <w:bookmarkEnd w:id="84"/>
    <w:bookmarkEnd w:id="85"/>
    <w:bookmarkEnd w:id="86"/>
    <w:p w14:paraId="4BF3C3F2">
      <w:pPr>
        <w:pStyle w:val="38"/>
        <w:rPr>
          <w:rFonts w:ascii="仿宋" w:hAnsi="仿宋" w:eastAsia="仿宋" w:cs="Times New Roman"/>
          <w:color w:val="auto"/>
        </w:rPr>
      </w:pPr>
      <w:bookmarkStart w:id="100" w:name="PO_默认文件内容_28"/>
      <w:r>
        <w:rPr>
          <w:rFonts w:hint="eastAsia" w:ascii="仿宋" w:hAnsi="仿宋" w:eastAsia="仿宋" w:cs="仿宋"/>
          <w:color w:val="auto"/>
        </w:rPr>
        <w:br w:type="page"/>
      </w:r>
      <w:r>
        <w:rPr>
          <w:rFonts w:hint="eastAsia" w:ascii="仿宋" w:hAnsi="仿宋" w:eastAsia="仿宋" w:cs="仿宋"/>
          <w:color w:val="auto"/>
        </w:rPr>
        <w:t>第八章评审方法</w:t>
      </w:r>
    </w:p>
    <w:p w14:paraId="3C13DEBB">
      <w:pPr>
        <w:pStyle w:val="3"/>
        <w:keepNext w:val="0"/>
        <w:keepLines w:val="0"/>
        <w:spacing w:before="0" w:after="0" w:line="360" w:lineRule="auto"/>
        <w:ind w:firstLine="472" w:firstLineChars="196"/>
        <w:rPr>
          <w:rFonts w:ascii="仿宋" w:hAnsi="仿宋" w:eastAsia="仿宋" w:cs="Times New Roman"/>
          <w:color w:val="auto"/>
          <w:sz w:val="24"/>
          <w:szCs w:val="24"/>
        </w:rPr>
      </w:pPr>
      <w:bookmarkStart w:id="101" w:name="_Toc101338358"/>
      <w:bookmarkStart w:id="102" w:name="_Toc101174146"/>
      <w:bookmarkStart w:id="103" w:name="_Toc209847065"/>
      <w:bookmarkStart w:id="104" w:name="_Toc101250640"/>
      <w:bookmarkStart w:id="105" w:name="_Toc430773924"/>
    </w:p>
    <w:p w14:paraId="5EE7DE77">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14:paraId="223BB2C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14:paraId="3B67459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谈判工作由采购人、采购代理机构负责组织，具体谈判由采购人自行组建的谈判小组负责。</w:t>
      </w:r>
    </w:p>
    <w:p w14:paraId="31E3C13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14:paraId="6295CE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14:paraId="747981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14:paraId="5E10D91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14:paraId="0F9B6BDE">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14:paraId="6F8BDD1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14:paraId="6CB1006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14:paraId="69FC7080">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14:paraId="087F243B">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14:paraId="19AC093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14:paraId="119BACCB">
      <w:pPr>
        <w:spacing w:line="360" w:lineRule="auto"/>
        <w:ind w:firstLine="413"/>
        <w:rPr>
          <w:rFonts w:ascii="仿宋" w:hAnsi="仿宋" w:eastAsia="仿宋"/>
          <w:color w:val="auto"/>
        </w:rPr>
      </w:pPr>
    </w:p>
    <w:p w14:paraId="64E9F8EF">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14:paraId="4FF1089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14:paraId="21910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14:paraId="442B6E3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14:paraId="143258A9">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14:paraId="39C21A1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14:paraId="3C8CCD4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14:paraId="29EF545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14:paraId="5C15E12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14:paraId="5471444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14:paraId="0B4A4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14:paraId="10AC035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w:t>
      </w:r>
      <w:r>
        <w:rPr>
          <w:rFonts w:hint="eastAsia" w:ascii="仿宋" w:hAnsi="仿宋" w:eastAsia="仿宋" w:cs="仿宋"/>
          <w:b w:val="0"/>
          <w:bCs w:val="0"/>
          <w:color w:val="auto"/>
          <w:sz w:val="24"/>
          <w:szCs w:val="24"/>
        </w:rPr>
        <w:t>谈判。</w:t>
      </w:r>
    </w:p>
    <w:p w14:paraId="6B07A53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2.2.1</w:t>
      </w:r>
      <w:r>
        <w:rPr>
          <w:rFonts w:hint="eastAsia" w:ascii="仿宋" w:hAnsi="仿宋" w:eastAsia="仿宋" w:cs="仿宋"/>
          <w:b w:val="0"/>
          <w:bCs w:val="0"/>
          <w:color w:val="auto"/>
          <w:sz w:val="24"/>
          <w:szCs w:val="24"/>
        </w:rPr>
        <w:t>谈判小组所有成员集中与单一供应商分别进行一轮谈判，并给予所有参加谈判的供应商平等的谈判机会。谈判顺序以现场抽签的方式确定。谈判过程中，谈判小组可以根据谈判情况调整谈判轮次。</w:t>
      </w:r>
    </w:p>
    <w:p w14:paraId="7BD4972D">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14:paraId="64DDFEB2">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14:paraId="4832D29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14:paraId="1EF4276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E8FE3A5">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lang w:val="zh-CN"/>
        </w:rPr>
        <w:t>有效性、完整性和响应程度审查</w:t>
      </w:r>
    </w:p>
    <w:p w14:paraId="2F0BFA9A">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14:paraId="1775E30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14:paraId="364DC19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14:paraId="00741070">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2.4.6.2</w:t>
      </w:r>
      <w:r>
        <w:rPr>
          <w:rFonts w:hint="eastAsia" w:ascii="仿宋" w:hAnsi="仿宋" w:eastAsia="仿宋" w:cs="仿宋"/>
          <w:color w:val="auto"/>
          <w:sz w:val="24"/>
          <w:szCs w:val="24"/>
          <w:lang w:val="zh-CN"/>
        </w:rPr>
        <w:t>经最终谈判后，响应文件仍有下列情况之一的，应按照无效响应文件处理：</w:t>
      </w:r>
    </w:p>
    <w:p w14:paraId="1B88D321">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14:paraId="2831E816">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14:paraId="4881003F">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2.2.6.3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14:paraId="6C92A0D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14:paraId="4850346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14:paraId="604ED2DA">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14:paraId="661CBAED">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14:paraId="51DEE4F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14:paraId="0494A76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14:paraId="70AF39B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14:paraId="6A2DC84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报价</w:t>
      </w:r>
    </w:p>
    <w:p w14:paraId="4016E8C9">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2.3.1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14:paraId="181CF3D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14:paraId="3C6EDD4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14:paraId="0507D36D">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14:paraId="139167D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14:paraId="53F2F97F">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14:paraId="79D70AE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14:paraId="04FAD3A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0C24374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6C7C7B8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191976B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14:paraId="1360B6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14:paraId="7820482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谈判小组复核。供应商最后报价结束后，谈判小组应当进行评审复核，对拟推荐为成交候选供应商的、报价最低的、供应商响应文件作无效处理的重点复核。</w:t>
      </w:r>
    </w:p>
    <w:p w14:paraId="0E327BC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推荐成交候选供应商。谈判小组应当根据报价低到高顺序推荐</w:t>
      </w:r>
      <w:r>
        <w:rPr>
          <w:rFonts w:ascii="仿宋" w:hAnsi="仿宋" w:eastAsia="仿宋" w:cs="仿宋"/>
          <w:color w:val="auto"/>
          <w:sz w:val="24"/>
          <w:szCs w:val="24"/>
        </w:rPr>
        <w:t>3</w:t>
      </w:r>
      <w:r>
        <w:rPr>
          <w:rFonts w:hint="eastAsia" w:ascii="仿宋" w:hAnsi="仿宋" w:eastAsia="仿宋" w:cs="仿宋"/>
          <w:color w:val="auto"/>
          <w:sz w:val="24"/>
          <w:szCs w:val="24"/>
        </w:rPr>
        <w:t>家以上成交候选供应商，并编写谈判报告。最后报价相同的，成交候选供应商并列，由采购人随机抽签确定成交供应商。</w:t>
      </w:r>
    </w:p>
    <w:p w14:paraId="67B30F5F">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编写谈判报告。谈判小组推荐成交候选供应商后，应向采购代理机构出具谈判报告。谈判报告应当包括以下主要内容：</w:t>
      </w:r>
    </w:p>
    <w:p w14:paraId="272FE3A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14:paraId="348E1DD4">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14:paraId="157C038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14:paraId="742E4DCF">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14:paraId="77A0E72C">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14:paraId="3091132E">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E43BAA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w:t>
      </w:r>
      <w:r>
        <w:rPr>
          <w:rFonts w:hint="eastAsia" w:ascii="仿宋" w:hAnsi="仿宋" w:eastAsia="仿宋" w:cs="仿宋"/>
          <w:color w:val="auto"/>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1C27CF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w:t>
      </w:r>
      <w:r>
        <w:rPr>
          <w:rFonts w:hint="eastAsia" w:ascii="仿宋" w:hAnsi="仿宋" w:eastAsia="仿宋" w:cs="仿宋"/>
          <w:color w:val="auto"/>
          <w:sz w:val="24"/>
          <w:szCs w:val="24"/>
        </w:rPr>
        <w:t>供应商澄清、说明</w:t>
      </w:r>
    </w:p>
    <w:p w14:paraId="6ED0F03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A180D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920800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2.9</w:t>
      </w:r>
      <w:r>
        <w:rPr>
          <w:rFonts w:hint="eastAsia" w:ascii="仿宋" w:hAnsi="仿宋" w:eastAsia="仿宋" w:cs="仿宋"/>
          <w:color w:val="auto"/>
          <w:sz w:val="24"/>
          <w:szCs w:val="24"/>
        </w:rPr>
        <w:t>终止谈判采购活动。</w:t>
      </w:r>
    </w:p>
    <w:p w14:paraId="058BB55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出现下列情形之一的，采购人或者采购代理机构应当终止竞争性谈判采购活动，发布项目终止公告并说明原因，重新开展采购活动：</w:t>
      </w:r>
    </w:p>
    <w:p w14:paraId="520B7DE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14:paraId="37FAA2CA">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14:paraId="7CA2EBA1">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p w14:paraId="5B12220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2.10</w:t>
      </w:r>
      <w:r>
        <w:rPr>
          <w:rFonts w:hint="eastAsia" w:ascii="仿宋" w:hAnsi="仿宋" w:eastAsia="仿宋" w:cs="仿宋"/>
          <w:color w:val="auto"/>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01"/>
    <w:bookmarkEnd w:id="102"/>
    <w:bookmarkEnd w:id="103"/>
    <w:bookmarkEnd w:id="104"/>
    <w:p w14:paraId="7F2F3725">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14:paraId="5693F1FF">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14:paraId="69ACBA5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14:paraId="18935DA7">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14:paraId="4CDFB829">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14:paraId="629FFD7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14:paraId="604C4E5F">
      <w:pPr>
        <w:spacing w:line="360" w:lineRule="auto"/>
        <w:ind w:firstLine="480" w:firstLineChars="200"/>
        <w:rPr>
          <w:rFonts w:ascii="仿宋" w:hAnsi="仿宋" w:eastAsia="仿宋"/>
          <w:color w:val="auto"/>
          <w:sz w:val="24"/>
          <w:szCs w:val="24"/>
        </w:rPr>
      </w:pPr>
    </w:p>
    <w:p w14:paraId="03B5FE9B">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05"/>
      <w:r>
        <w:rPr>
          <w:rFonts w:hint="eastAsia" w:ascii="仿宋" w:hAnsi="仿宋" w:eastAsia="仿宋" w:cs="仿宋"/>
          <w:b/>
          <w:bCs/>
          <w:color w:val="auto"/>
          <w:sz w:val="24"/>
          <w:szCs w:val="24"/>
        </w:rPr>
        <w:t>谈判小组在政府采购活动中承担以下义务：</w:t>
      </w:r>
    </w:p>
    <w:p w14:paraId="0F29AEFC">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14:paraId="2A633944">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14:paraId="451030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14:paraId="51B8C4E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14:paraId="2BD025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14:paraId="1AD50869">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14:paraId="6C4F560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14:paraId="2AE3CEC2">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14:paraId="13EE1B6A">
      <w:pPr>
        <w:tabs>
          <w:tab w:val="left" w:pos="7665"/>
        </w:tabs>
        <w:spacing w:line="360" w:lineRule="auto"/>
        <w:rPr>
          <w:rFonts w:ascii="仿宋" w:hAnsi="仿宋" w:eastAsia="仿宋"/>
          <w:color w:val="auto"/>
          <w:sz w:val="24"/>
          <w:szCs w:val="24"/>
        </w:rPr>
      </w:pPr>
    </w:p>
    <w:p w14:paraId="1AED8E01">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评审专家在政府采购活动中应当遵守以下工作纪律：</w:t>
      </w:r>
    </w:p>
    <w:p w14:paraId="3A1EABE7">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14:paraId="52AE620F">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14:paraId="6BAEB21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14:paraId="52E86BE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45390C4">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14:paraId="04D0971C">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14:paraId="2B999FCB">
      <w:pPr>
        <w:tabs>
          <w:tab w:val="left" w:pos="7665"/>
        </w:tabs>
        <w:spacing w:line="400" w:lineRule="exact"/>
        <w:jc w:val="left"/>
        <w:rPr>
          <w:rFonts w:ascii="仿宋" w:hAnsi="仿宋" w:eastAsia="仿宋" w:cs="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14:paraId="690B22B8">
      <w:pPr>
        <w:tabs>
          <w:tab w:val="left" w:pos="7665"/>
        </w:tabs>
        <w:spacing w:line="400" w:lineRule="exact"/>
        <w:jc w:val="center"/>
        <w:rPr>
          <w:rFonts w:ascii="宋体" w:hAnsi="宋体"/>
          <w:b/>
          <w:color w:val="auto"/>
          <w:sz w:val="36"/>
          <w:szCs w:val="36"/>
        </w:rPr>
      </w:pPr>
      <w:r>
        <w:rPr>
          <w:rFonts w:ascii="仿宋" w:hAnsi="仿宋" w:eastAsia="仿宋"/>
          <w:color w:val="auto"/>
        </w:rPr>
        <w:br w:type="page"/>
      </w:r>
      <w:bookmarkStart w:id="106" w:name="_Toc509579148"/>
      <w:bookmarkStart w:id="107" w:name="_Toc41037910"/>
      <w:r>
        <w:rPr>
          <w:rFonts w:hint="eastAsia" w:ascii="宋体" w:hAnsi="宋体"/>
          <w:color w:val="auto"/>
          <w:sz w:val="36"/>
          <w:szCs w:val="36"/>
        </w:rPr>
        <w:t xml:space="preserve">第九章 </w:t>
      </w:r>
      <w:bookmarkEnd w:id="100"/>
      <w:bookmarkEnd w:id="106"/>
      <w:bookmarkEnd w:id="107"/>
      <w:r>
        <w:rPr>
          <w:rFonts w:hint="eastAsia" w:ascii="宋体" w:hAnsi="宋体"/>
          <w:color w:val="auto"/>
          <w:sz w:val="36"/>
          <w:szCs w:val="36"/>
        </w:rPr>
        <w:t>政府采购合同（草案）</w:t>
      </w:r>
    </w:p>
    <w:p w14:paraId="72078F37">
      <w:pPr>
        <w:spacing w:line="360" w:lineRule="auto"/>
        <w:ind w:firstLine="482" w:firstLineChars="200"/>
        <w:rPr>
          <w:rFonts w:ascii="宋体" w:hAnsi="宋体"/>
          <w:b/>
          <w:bCs/>
          <w:color w:val="auto"/>
          <w:sz w:val="24"/>
        </w:rPr>
      </w:pPr>
      <w:bookmarkStart w:id="108" w:name="_Hlt101846155"/>
      <w:bookmarkEnd w:id="108"/>
    </w:p>
    <w:p w14:paraId="41F102F2">
      <w:pPr>
        <w:pStyle w:val="81"/>
        <w:ind w:firstLine="480"/>
        <w:rPr>
          <w:rFonts w:ascii="宋体" w:hAnsi="宋体"/>
          <w:color w:val="auto"/>
        </w:rPr>
      </w:pPr>
      <w:r>
        <w:rPr>
          <w:rFonts w:hint="eastAsia" w:ascii="宋体" w:hAnsi="宋体"/>
          <w:color w:val="auto"/>
        </w:rPr>
        <w:t>合同编号：XXX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6A24B6B6">
      <w:pPr>
        <w:pStyle w:val="81"/>
        <w:ind w:firstLine="480"/>
        <w:rPr>
          <w:rFonts w:ascii="宋体" w:hAnsi="宋体"/>
          <w:color w:val="auto"/>
        </w:rPr>
      </w:pPr>
      <w:r>
        <w:rPr>
          <w:rFonts w:hint="eastAsia" w:ascii="宋体" w:hAnsi="宋体"/>
          <w:color w:val="auto"/>
        </w:rPr>
        <w:t>签订地点：XXX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1CF4F1F5">
      <w:pPr>
        <w:pStyle w:val="81"/>
        <w:ind w:firstLine="480"/>
        <w:rPr>
          <w:rFonts w:ascii="宋体" w:hAnsi="宋体"/>
          <w:color w:val="auto"/>
        </w:rPr>
      </w:pPr>
      <w:r>
        <w:rPr>
          <w:rFonts w:hint="eastAsia" w:ascii="宋体" w:hAnsi="宋体"/>
          <w:color w:val="auto"/>
        </w:rPr>
        <w:t>签订时间：XXX年XXX月XXX日</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3857F26D">
      <w:pPr>
        <w:pStyle w:val="81"/>
        <w:ind w:firstLine="480"/>
        <w:rPr>
          <w:rFonts w:ascii="宋体" w:hAnsi="宋体"/>
          <w:color w:val="auto"/>
        </w:rPr>
      </w:pPr>
      <w:r>
        <w:rPr>
          <w:rFonts w:hint="eastAsia" w:ascii="宋体" w:hAnsi="宋体"/>
          <w:color w:val="auto"/>
        </w:rPr>
        <w:t>采购人（甲方）：XXX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4EC442A2">
      <w:pPr>
        <w:pStyle w:val="81"/>
        <w:ind w:firstLine="480"/>
        <w:rPr>
          <w:rFonts w:ascii="宋体" w:hAnsi="宋体"/>
          <w:color w:val="auto"/>
        </w:rPr>
      </w:pPr>
      <w:r>
        <w:rPr>
          <w:rFonts w:hint="eastAsia" w:ascii="宋体" w:hAnsi="宋体"/>
          <w:color w:val="auto"/>
        </w:rPr>
        <w:t>供应商（乙方）：XXX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p>
    <w:p w14:paraId="15288332">
      <w:pPr>
        <w:spacing w:line="400" w:lineRule="exact"/>
        <w:rPr>
          <w:rFonts w:ascii="宋体" w:hAnsi="宋体"/>
          <w:color w:val="auto"/>
          <w:sz w:val="24"/>
        </w:rPr>
      </w:pPr>
    </w:p>
    <w:p w14:paraId="07D27BFD">
      <w:pPr>
        <w:pStyle w:val="81"/>
        <w:ind w:firstLine="480"/>
        <w:rPr>
          <w:rFonts w:ascii="宋体" w:hAnsi="宋体"/>
          <w:color w:val="auto"/>
        </w:rPr>
      </w:pPr>
      <w:r>
        <w:rPr>
          <w:rFonts w:hint="eastAsia" w:ascii="宋体" w:hAnsi="宋体"/>
          <w:color w:val="auto"/>
        </w:rPr>
        <w:t>根据《中华人民共和国政府采购法》、《中华人民共和国民法典》及</w:t>
      </w:r>
      <w:r>
        <w:rPr>
          <w:rFonts w:hint="eastAsia" w:ascii="宋体" w:hAnsi="宋体"/>
          <w:b/>
          <w:bCs/>
          <w:color w:val="auto"/>
          <w:u w:val="single"/>
          <w:lang w:eastAsia="zh-CN"/>
        </w:rPr>
        <w:t>四川川信致远资产经营管理有限公司自动售货机食品饮料采购项目</w:t>
      </w:r>
      <w:r>
        <w:rPr>
          <w:rFonts w:hint="eastAsia" w:ascii="宋体" w:hAnsi="宋体"/>
          <w:color w:val="auto"/>
        </w:rPr>
        <w:t>项目（项目编号：XXX）的《</w:t>
      </w:r>
      <w:r>
        <w:rPr>
          <w:rFonts w:hint="eastAsia" w:ascii="宋体" w:hAnsi="宋体"/>
          <w:bCs/>
          <w:color w:val="auto"/>
        </w:rPr>
        <w:t>谈判</w:t>
      </w:r>
      <w:r>
        <w:rPr>
          <w:rFonts w:hint="eastAsia" w:ascii="宋体" w:hAnsi="宋体"/>
          <w:color w:val="auto"/>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7C0D8DDF">
      <w:pPr>
        <w:pStyle w:val="81"/>
        <w:ind w:firstLine="480"/>
        <w:rPr>
          <w:rFonts w:ascii="宋体" w:hAnsi="宋体"/>
          <w:color w:val="auto"/>
        </w:rPr>
      </w:pPr>
    </w:p>
    <w:p w14:paraId="30EB7808">
      <w:pPr>
        <w:numPr>
          <w:ilvl w:val="0"/>
          <w:numId w:val="5"/>
        </w:numPr>
        <w:rPr>
          <w:rFonts w:ascii="黑体" w:hAnsi="宋体"/>
          <w:b/>
          <w:color w:val="auto"/>
          <w:sz w:val="24"/>
        </w:rPr>
      </w:pPr>
      <w:r>
        <w:rPr>
          <w:rFonts w:hint="eastAsia" w:ascii="黑体" w:hAnsi="宋体"/>
          <w:b/>
          <w:color w:val="auto"/>
          <w:sz w:val="24"/>
        </w:rPr>
        <w:t>合同货物</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0398A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609234D3">
            <w:pPr>
              <w:ind w:firstLine="210" w:firstLineChars="100"/>
              <w:rPr>
                <w:rFonts w:ascii="宋体" w:hAnsi="宋体"/>
                <w:color w:val="auto"/>
              </w:rPr>
            </w:pPr>
            <w:r>
              <w:rPr>
                <w:rFonts w:hint="eastAsia" w:ascii="宋体" w:hAnsi="宋体" w:cs="Arial"/>
                <w:color w:val="auto"/>
              </w:rPr>
              <w:t>货物品名</w:t>
            </w:r>
          </w:p>
        </w:tc>
        <w:tc>
          <w:tcPr>
            <w:tcW w:w="1027" w:type="dxa"/>
            <w:vMerge w:val="restart"/>
            <w:tcBorders>
              <w:top w:val="single" w:color="auto" w:sz="4" w:space="0"/>
              <w:left w:val="single" w:color="auto" w:sz="4" w:space="0"/>
              <w:right w:val="single" w:color="auto" w:sz="4" w:space="0"/>
            </w:tcBorders>
            <w:vAlign w:val="center"/>
          </w:tcPr>
          <w:p w14:paraId="735D43F7">
            <w:pPr>
              <w:jc w:val="center"/>
              <w:rPr>
                <w:rFonts w:ascii="宋体" w:hAnsi="宋体" w:cs="Arial"/>
                <w:color w:val="auto"/>
              </w:rPr>
            </w:pPr>
            <w:r>
              <w:rPr>
                <w:rFonts w:hint="eastAsia" w:ascii="宋体" w:hAnsi="宋体" w:cs="Arial"/>
                <w:color w:val="auto"/>
              </w:rPr>
              <w:t>规格</w:t>
            </w:r>
          </w:p>
          <w:p w14:paraId="3332CA9D">
            <w:pPr>
              <w:jc w:val="center"/>
              <w:rPr>
                <w:rFonts w:ascii="宋体" w:hAnsi="宋体"/>
                <w:color w:val="auto"/>
              </w:rPr>
            </w:pPr>
            <w:r>
              <w:rPr>
                <w:rFonts w:hint="eastAsia" w:ascii="宋体" w:hAnsi="宋体" w:cs="Arial"/>
                <w:color w:val="auto"/>
              </w:rPr>
              <w:t>型号</w:t>
            </w:r>
          </w:p>
        </w:tc>
        <w:tc>
          <w:tcPr>
            <w:tcW w:w="604" w:type="dxa"/>
            <w:vMerge w:val="restart"/>
            <w:tcBorders>
              <w:top w:val="single" w:color="auto" w:sz="4" w:space="0"/>
              <w:left w:val="single" w:color="auto" w:sz="4" w:space="0"/>
              <w:right w:val="single" w:color="auto" w:sz="4" w:space="0"/>
            </w:tcBorders>
            <w:vAlign w:val="center"/>
          </w:tcPr>
          <w:p w14:paraId="663900A5">
            <w:pPr>
              <w:rPr>
                <w:rFonts w:ascii="宋体" w:hAnsi="宋体"/>
                <w:color w:val="auto"/>
              </w:rPr>
            </w:pPr>
            <w:r>
              <w:rPr>
                <w:rFonts w:hint="eastAsia" w:ascii="宋体" w:hAnsi="宋体" w:cs="Arial"/>
                <w:color w:val="auto"/>
              </w:rPr>
              <w:t>单位</w:t>
            </w:r>
          </w:p>
        </w:tc>
        <w:tc>
          <w:tcPr>
            <w:tcW w:w="531" w:type="dxa"/>
            <w:vMerge w:val="restart"/>
            <w:tcBorders>
              <w:top w:val="single" w:color="auto" w:sz="4" w:space="0"/>
              <w:left w:val="single" w:color="auto" w:sz="4" w:space="0"/>
              <w:right w:val="single" w:color="auto" w:sz="4" w:space="0"/>
            </w:tcBorders>
            <w:vAlign w:val="center"/>
          </w:tcPr>
          <w:p w14:paraId="73E1E645">
            <w:pPr>
              <w:ind w:firstLine="105" w:firstLineChars="50"/>
              <w:rPr>
                <w:rFonts w:ascii="宋体" w:hAnsi="宋体"/>
                <w:color w:val="auto"/>
              </w:rPr>
            </w:pPr>
            <w:r>
              <w:rPr>
                <w:rFonts w:hint="eastAsia" w:ascii="宋体" w:hAnsi="宋体" w:cs="Arial"/>
                <w:color w:val="auto"/>
              </w:rPr>
              <w:t>数量</w:t>
            </w:r>
          </w:p>
        </w:tc>
        <w:tc>
          <w:tcPr>
            <w:tcW w:w="1064" w:type="dxa"/>
            <w:vMerge w:val="restart"/>
            <w:tcBorders>
              <w:top w:val="single" w:color="auto" w:sz="4" w:space="0"/>
              <w:left w:val="single" w:color="auto" w:sz="4" w:space="0"/>
              <w:right w:val="single" w:color="auto" w:sz="4" w:space="0"/>
            </w:tcBorders>
            <w:vAlign w:val="center"/>
          </w:tcPr>
          <w:p w14:paraId="43ADE94A">
            <w:pPr>
              <w:ind w:firstLine="105" w:firstLineChars="50"/>
              <w:jc w:val="center"/>
              <w:rPr>
                <w:rFonts w:ascii="宋体" w:hAnsi="宋体" w:cs="Arial"/>
                <w:color w:val="auto"/>
              </w:rPr>
            </w:pPr>
            <w:r>
              <w:rPr>
                <w:rFonts w:hint="eastAsia" w:ascii="宋体" w:hAnsi="宋体" w:cs="Arial"/>
                <w:color w:val="auto"/>
              </w:rPr>
              <w:t>单价</w:t>
            </w:r>
          </w:p>
          <w:p w14:paraId="75941031">
            <w:pPr>
              <w:jc w:val="center"/>
              <w:rPr>
                <w:rFonts w:ascii="宋体" w:hAnsi="宋体" w:cs="Arial"/>
                <w:color w:val="auto"/>
              </w:rPr>
            </w:pPr>
            <w:r>
              <w:rPr>
                <w:rFonts w:hint="eastAsia" w:ascii="宋体" w:hAnsi="宋体" w:cs="Arial"/>
                <w:color w:val="auto"/>
              </w:rPr>
              <w:t>（元）</w:t>
            </w:r>
          </w:p>
        </w:tc>
        <w:tc>
          <w:tcPr>
            <w:tcW w:w="888" w:type="dxa"/>
            <w:vMerge w:val="restart"/>
            <w:tcBorders>
              <w:top w:val="single" w:color="auto" w:sz="4" w:space="0"/>
              <w:left w:val="single" w:color="auto" w:sz="4" w:space="0"/>
              <w:right w:val="single" w:color="auto" w:sz="4" w:space="0"/>
            </w:tcBorders>
            <w:vAlign w:val="center"/>
          </w:tcPr>
          <w:p w14:paraId="1EDE47D8">
            <w:pPr>
              <w:ind w:leftChars="-1" w:right="-88" w:rightChars="-42" w:hanging="2" w:hangingChars="1"/>
              <w:jc w:val="center"/>
              <w:rPr>
                <w:rFonts w:ascii="宋体" w:hAnsi="宋体" w:cs="Arial"/>
                <w:color w:val="auto"/>
              </w:rPr>
            </w:pPr>
            <w:r>
              <w:rPr>
                <w:rFonts w:hint="eastAsia" w:ascii="宋体" w:hAnsi="宋体" w:cs="Arial"/>
                <w:color w:val="auto"/>
              </w:rPr>
              <w:t>总价</w:t>
            </w:r>
          </w:p>
          <w:p w14:paraId="130DF826">
            <w:pPr>
              <w:ind w:leftChars="-1" w:right="-88" w:rightChars="-42" w:hanging="2" w:hangingChars="1"/>
              <w:jc w:val="center"/>
              <w:rPr>
                <w:rFonts w:ascii="宋体" w:hAnsi="宋体" w:cs="Arial"/>
                <w:color w:val="auto"/>
              </w:rPr>
            </w:pPr>
            <w:r>
              <w:rPr>
                <w:rFonts w:hint="eastAsia" w:ascii="宋体" w:hAnsi="宋体" w:cs="Arial"/>
                <w:color w:val="auto"/>
              </w:rPr>
              <w:t>（元）</w:t>
            </w:r>
          </w:p>
        </w:tc>
        <w:tc>
          <w:tcPr>
            <w:tcW w:w="917" w:type="dxa"/>
            <w:vMerge w:val="restart"/>
            <w:tcBorders>
              <w:top w:val="single" w:color="auto" w:sz="4" w:space="0"/>
              <w:left w:val="single" w:color="auto" w:sz="4" w:space="0"/>
              <w:right w:val="single" w:color="auto" w:sz="4" w:space="0"/>
            </w:tcBorders>
            <w:vAlign w:val="center"/>
          </w:tcPr>
          <w:p w14:paraId="53B432B3">
            <w:pPr>
              <w:jc w:val="center"/>
              <w:rPr>
                <w:rFonts w:ascii="宋体" w:hAnsi="宋体" w:cs="Arial"/>
                <w:color w:val="auto"/>
              </w:rPr>
            </w:pPr>
            <w:r>
              <w:rPr>
                <w:rFonts w:hint="eastAsia" w:ascii="宋体" w:hAnsi="宋体" w:cs="Arial"/>
                <w:color w:val="auto"/>
              </w:rPr>
              <w:t>随机</w:t>
            </w:r>
          </w:p>
          <w:p w14:paraId="7899D45E">
            <w:pPr>
              <w:jc w:val="center"/>
              <w:rPr>
                <w:rFonts w:ascii="宋体" w:hAnsi="宋体"/>
                <w:color w:val="auto"/>
              </w:rPr>
            </w:pPr>
            <w:r>
              <w:rPr>
                <w:rFonts w:hint="eastAsia" w:ascii="宋体" w:hAnsi="宋体" w:cs="Arial"/>
                <w:color w:val="auto"/>
              </w:rPr>
              <w:t>配件</w:t>
            </w:r>
          </w:p>
        </w:tc>
        <w:tc>
          <w:tcPr>
            <w:tcW w:w="932" w:type="dxa"/>
            <w:vMerge w:val="restart"/>
            <w:tcBorders>
              <w:top w:val="single" w:color="auto" w:sz="4" w:space="0"/>
              <w:left w:val="single" w:color="auto" w:sz="4" w:space="0"/>
              <w:right w:val="single" w:color="auto" w:sz="4" w:space="0"/>
            </w:tcBorders>
            <w:vAlign w:val="center"/>
          </w:tcPr>
          <w:p w14:paraId="50A61734">
            <w:pPr>
              <w:spacing w:line="400" w:lineRule="exact"/>
              <w:ind w:leftChars="-22" w:hanging="46" w:hangingChars="22"/>
              <w:rPr>
                <w:rFonts w:ascii="宋体" w:hAnsi="宋体"/>
                <w:color w:val="auto"/>
              </w:rPr>
            </w:pPr>
            <w:r>
              <w:rPr>
                <w:rFonts w:hint="eastAsia" w:ascii="宋体" w:hAnsi="宋体" w:cs="Arial"/>
                <w:color w:val="auto"/>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1FAF2C1D">
            <w:pPr>
              <w:autoSpaceDE w:val="0"/>
              <w:autoSpaceDN w:val="0"/>
              <w:adjustRightInd w:val="0"/>
              <w:jc w:val="center"/>
              <w:rPr>
                <w:rFonts w:ascii="宋体" w:hAnsi="宋体" w:cs="宋体"/>
                <w:color w:val="auto"/>
                <w:lang w:val="zh-CN"/>
              </w:rPr>
            </w:pPr>
            <w:r>
              <w:rPr>
                <w:rFonts w:hint="eastAsia" w:ascii="宋体" w:hAnsi="宋体" w:cs="宋体"/>
                <w:color w:val="auto"/>
                <w:lang w:val="zh-CN"/>
              </w:rPr>
              <w:t>资金来源（元）</w:t>
            </w:r>
          </w:p>
        </w:tc>
      </w:tr>
      <w:tr w14:paraId="4AEB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693E2307">
            <w:pPr>
              <w:spacing w:line="400" w:lineRule="exact"/>
              <w:ind w:firstLine="210" w:firstLineChars="100"/>
              <w:rPr>
                <w:rFonts w:ascii="宋体" w:hAnsi="宋体" w:cs="Arial"/>
                <w:color w:val="auto"/>
              </w:rPr>
            </w:pPr>
          </w:p>
        </w:tc>
        <w:tc>
          <w:tcPr>
            <w:tcW w:w="1027" w:type="dxa"/>
            <w:vMerge w:val="continue"/>
            <w:tcBorders>
              <w:left w:val="single" w:color="auto" w:sz="4" w:space="0"/>
              <w:bottom w:val="single" w:color="auto" w:sz="4" w:space="0"/>
              <w:right w:val="single" w:color="auto" w:sz="4" w:space="0"/>
            </w:tcBorders>
            <w:vAlign w:val="center"/>
          </w:tcPr>
          <w:p w14:paraId="52BF5AA1">
            <w:pPr>
              <w:spacing w:line="400" w:lineRule="exact"/>
              <w:jc w:val="center"/>
              <w:rPr>
                <w:rFonts w:ascii="宋体" w:hAnsi="宋体" w:cs="Arial"/>
                <w:color w:val="auto"/>
              </w:rPr>
            </w:pPr>
          </w:p>
        </w:tc>
        <w:tc>
          <w:tcPr>
            <w:tcW w:w="604" w:type="dxa"/>
            <w:vMerge w:val="continue"/>
            <w:tcBorders>
              <w:left w:val="single" w:color="auto" w:sz="4" w:space="0"/>
              <w:bottom w:val="single" w:color="auto" w:sz="4" w:space="0"/>
              <w:right w:val="single" w:color="auto" w:sz="4" w:space="0"/>
            </w:tcBorders>
            <w:vAlign w:val="center"/>
          </w:tcPr>
          <w:p w14:paraId="7484A0DC">
            <w:pPr>
              <w:spacing w:line="400" w:lineRule="exact"/>
              <w:rPr>
                <w:rFonts w:ascii="宋体" w:hAnsi="宋体" w:cs="Arial"/>
                <w:color w:val="auto"/>
              </w:rPr>
            </w:pPr>
          </w:p>
        </w:tc>
        <w:tc>
          <w:tcPr>
            <w:tcW w:w="531" w:type="dxa"/>
            <w:vMerge w:val="continue"/>
            <w:tcBorders>
              <w:left w:val="single" w:color="auto" w:sz="4" w:space="0"/>
              <w:bottom w:val="single" w:color="auto" w:sz="4" w:space="0"/>
              <w:right w:val="single" w:color="auto" w:sz="4" w:space="0"/>
            </w:tcBorders>
            <w:vAlign w:val="center"/>
          </w:tcPr>
          <w:p w14:paraId="14ED3FA7">
            <w:pPr>
              <w:spacing w:line="400" w:lineRule="exact"/>
              <w:ind w:firstLine="105" w:firstLineChars="50"/>
              <w:rPr>
                <w:rFonts w:ascii="宋体" w:hAnsi="宋体" w:cs="Arial"/>
                <w:color w:val="auto"/>
              </w:rPr>
            </w:pPr>
          </w:p>
        </w:tc>
        <w:tc>
          <w:tcPr>
            <w:tcW w:w="1064" w:type="dxa"/>
            <w:vMerge w:val="continue"/>
            <w:tcBorders>
              <w:left w:val="single" w:color="auto" w:sz="4" w:space="0"/>
              <w:bottom w:val="single" w:color="auto" w:sz="4" w:space="0"/>
              <w:right w:val="single" w:color="auto" w:sz="4" w:space="0"/>
            </w:tcBorders>
            <w:vAlign w:val="center"/>
          </w:tcPr>
          <w:p w14:paraId="638A5F98">
            <w:pPr>
              <w:spacing w:line="400" w:lineRule="exact"/>
              <w:ind w:firstLine="105" w:firstLineChars="50"/>
              <w:jc w:val="center"/>
              <w:rPr>
                <w:rFonts w:ascii="宋体" w:hAnsi="宋体" w:cs="Arial"/>
                <w:color w:val="auto"/>
              </w:rPr>
            </w:pPr>
          </w:p>
        </w:tc>
        <w:tc>
          <w:tcPr>
            <w:tcW w:w="888" w:type="dxa"/>
            <w:vMerge w:val="continue"/>
            <w:tcBorders>
              <w:left w:val="single" w:color="auto" w:sz="4" w:space="0"/>
              <w:bottom w:val="single" w:color="auto" w:sz="4" w:space="0"/>
              <w:right w:val="single" w:color="auto" w:sz="4" w:space="0"/>
            </w:tcBorders>
            <w:vAlign w:val="center"/>
          </w:tcPr>
          <w:p w14:paraId="5E05061B">
            <w:pPr>
              <w:spacing w:line="400" w:lineRule="exact"/>
              <w:ind w:firstLine="210" w:firstLineChars="100"/>
              <w:rPr>
                <w:rFonts w:ascii="宋体" w:hAnsi="宋体" w:cs="Arial"/>
                <w:color w:val="auto"/>
              </w:rPr>
            </w:pPr>
          </w:p>
        </w:tc>
        <w:tc>
          <w:tcPr>
            <w:tcW w:w="917" w:type="dxa"/>
            <w:vMerge w:val="continue"/>
            <w:tcBorders>
              <w:left w:val="single" w:color="auto" w:sz="4" w:space="0"/>
              <w:bottom w:val="single" w:color="auto" w:sz="4" w:space="0"/>
              <w:right w:val="single" w:color="auto" w:sz="4" w:space="0"/>
            </w:tcBorders>
            <w:vAlign w:val="center"/>
          </w:tcPr>
          <w:p w14:paraId="30F4B1B7">
            <w:pPr>
              <w:spacing w:line="400" w:lineRule="exact"/>
              <w:jc w:val="center"/>
              <w:rPr>
                <w:rFonts w:ascii="宋体" w:hAnsi="宋体" w:cs="Arial"/>
                <w:color w:val="auto"/>
              </w:rPr>
            </w:pPr>
          </w:p>
        </w:tc>
        <w:tc>
          <w:tcPr>
            <w:tcW w:w="932" w:type="dxa"/>
            <w:vMerge w:val="continue"/>
            <w:tcBorders>
              <w:left w:val="single" w:color="auto" w:sz="4" w:space="0"/>
              <w:bottom w:val="single" w:color="auto" w:sz="4" w:space="0"/>
              <w:right w:val="single" w:color="auto" w:sz="4" w:space="0"/>
            </w:tcBorders>
            <w:vAlign w:val="center"/>
          </w:tcPr>
          <w:p w14:paraId="0E31D4CE">
            <w:pPr>
              <w:spacing w:line="400" w:lineRule="exact"/>
              <w:ind w:firstLine="105" w:firstLineChars="50"/>
              <w:rPr>
                <w:rFonts w:ascii="宋体" w:hAnsi="宋体" w:cs="Arial"/>
                <w:color w:val="auto"/>
              </w:rPr>
            </w:pPr>
          </w:p>
        </w:tc>
        <w:tc>
          <w:tcPr>
            <w:tcW w:w="483" w:type="dxa"/>
            <w:tcBorders>
              <w:top w:val="single" w:color="auto" w:sz="4" w:space="0"/>
              <w:left w:val="single" w:color="auto" w:sz="4" w:space="0"/>
              <w:bottom w:val="single" w:color="auto" w:sz="4" w:space="0"/>
              <w:right w:val="single" w:color="auto" w:sz="4" w:space="0"/>
            </w:tcBorders>
            <w:vAlign w:val="center"/>
          </w:tcPr>
          <w:p w14:paraId="4B7676E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53C419D3">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02CBB226">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自</w:t>
            </w:r>
          </w:p>
          <w:p w14:paraId="5B244FE1">
            <w:pPr>
              <w:autoSpaceDE w:val="0"/>
              <w:autoSpaceDN w:val="0"/>
              <w:adjustRightInd w:val="0"/>
              <w:jc w:val="center"/>
              <w:rPr>
                <w:rFonts w:ascii="宋体" w:hAnsi="宋体" w:cs="宋体"/>
                <w:color w:val="auto"/>
                <w:sz w:val="18"/>
                <w:szCs w:val="18"/>
                <w:lang w:val="zh-CN"/>
              </w:rPr>
            </w:pPr>
          </w:p>
          <w:p w14:paraId="2A2131C2">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1DFAF06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其</w:t>
            </w:r>
          </w:p>
          <w:p w14:paraId="061DE30D">
            <w:pPr>
              <w:autoSpaceDE w:val="0"/>
              <w:autoSpaceDN w:val="0"/>
              <w:adjustRightInd w:val="0"/>
              <w:jc w:val="center"/>
              <w:rPr>
                <w:rFonts w:ascii="宋体" w:hAnsi="宋体" w:cs="宋体"/>
                <w:color w:val="auto"/>
                <w:sz w:val="18"/>
                <w:szCs w:val="18"/>
                <w:lang w:val="zh-CN"/>
              </w:rPr>
            </w:pPr>
          </w:p>
          <w:p w14:paraId="55A40CC9">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他</w:t>
            </w:r>
          </w:p>
        </w:tc>
      </w:tr>
      <w:tr w14:paraId="3D67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EBFFEAB">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2C3A392">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7311AD52">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2F74C70B">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2D4FA666">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A3D6346">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5149E746">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73E02FE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2DDE0417">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80AE90B">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3F904796">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16817719">
            <w:pPr>
              <w:spacing w:line="400" w:lineRule="exact"/>
              <w:jc w:val="center"/>
              <w:rPr>
                <w:rFonts w:ascii="宋体" w:hAnsi="宋体"/>
                <w:color w:val="auto"/>
                <w:sz w:val="24"/>
              </w:rPr>
            </w:pPr>
          </w:p>
        </w:tc>
      </w:tr>
      <w:tr w14:paraId="3698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6CBB19E">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30B5F2E7">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471F57B3">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1841186">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0F316AD">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3547D252">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D7D82B7">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48F333D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077FEE43">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2B1C8FC">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2892DCFF">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41810355">
            <w:pPr>
              <w:spacing w:line="400" w:lineRule="exact"/>
              <w:jc w:val="center"/>
              <w:rPr>
                <w:rFonts w:ascii="宋体" w:hAnsi="宋体"/>
                <w:color w:val="auto"/>
                <w:sz w:val="24"/>
              </w:rPr>
            </w:pPr>
          </w:p>
        </w:tc>
      </w:tr>
    </w:tbl>
    <w:p w14:paraId="1DBE6727">
      <w:pPr>
        <w:rPr>
          <w:rFonts w:ascii="黑体" w:hAnsi="宋体"/>
          <w:b/>
          <w:color w:val="auto"/>
          <w:sz w:val="28"/>
          <w:szCs w:val="28"/>
        </w:rPr>
      </w:pPr>
    </w:p>
    <w:p w14:paraId="13DA4B55">
      <w:pPr>
        <w:spacing w:line="400" w:lineRule="exact"/>
        <w:rPr>
          <w:rFonts w:ascii="黑体" w:hAnsi="宋体"/>
          <w:b/>
          <w:color w:val="auto"/>
          <w:sz w:val="24"/>
        </w:rPr>
      </w:pPr>
      <w:r>
        <w:rPr>
          <w:rFonts w:hint="eastAsia" w:ascii="黑体" w:hAnsi="宋体"/>
          <w:b/>
          <w:color w:val="auto"/>
          <w:sz w:val="24"/>
        </w:rPr>
        <w:t>二、合同总价</w:t>
      </w:r>
    </w:p>
    <w:p w14:paraId="11B2AFA6">
      <w:pPr>
        <w:pStyle w:val="12"/>
        <w:spacing w:line="400" w:lineRule="exact"/>
        <w:ind w:firstLine="480"/>
        <w:rPr>
          <w:color w:val="auto"/>
        </w:rPr>
      </w:pPr>
      <w:r>
        <w:rPr>
          <w:rFonts w:hint="eastAsia"/>
          <w:color w:val="auto"/>
        </w:rPr>
        <w:t>合同总价为人民币大写：XXX元，即</w:t>
      </w:r>
      <w:r>
        <w:rPr>
          <w:color w:val="auto"/>
        </w:rPr>
        <w:t>RMB</w:t>
      </w:r>
      <w:r>
        <w:rPr>
          <w:rFonts w:hint="eastAsia"/>
          <w:color w:val="auto"/>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5FFAC29">
      <w:pPr>
        <w:tabs>
          <w:tab w:val="left" w:pos="2145"/>
        </w:tabs>
        <w:spacing w:line="400" w:lineRule="exact"/>
        <w:rPr>
          <w:rFonts w:ascii="黑体" w:hAnsi="宋体"/>
          <w:b/>
          <w:color w:val="auto"/>
          <w:sz w:val="24"/>
        </w:rPr>
      </w:pPr>
    </w:p>
    <w:p w14:paraId="61603A48">
      <w:pPr>
        <w:tabs>
          <w:tab w:val="left" w:pos="2145"/>
        </w:tabs>
        <w:rPr>
          <w:rFonts w:ascii="黑体" w:hAnsi="宋体"/>
          <w:b/>
          <w:color w:val="auto"/>
          <w:sz w:val="24"/>
        </w:rPr>
      </w:pPr>
      <w:r>
        <w:rPr>
          <w:rFonts w:hint="eastAsia" w:ascii="黑体" w:hAnsi="宋体"/>
          <w:b/>
          <w:color w:val="auto"/>
          <w:sz w:val="24"/>
        </w:rPr>
        <w:t>三、质量要求</w:t>
      </w:r>
      <w:r>
        <w:rPr>
          <w:rFonts w:ascii="黑体" w:hAnsi="宋体"/>
          <w:b/>
          <w:color w:val="auto"/>
          <w:sz w:val="24"/>
        </w:rPr>
        <w:tab/>
      </w:r>
    </w:p>
    <w:p w14:paraId="7C93F95C">
      <w:pPr>
        <w:pStyle w:val="81"/>
        <w:ind w:firstLine="480"/>
        <w:rPr>
          <w:rFonts w:ascii="宋体" w:hAnsi="宋体"/>
          <w:color w:val="auto"/>
        </w:rPr>
      </w:pPr>
      <w:r>
        <w:rPr>
          <w:rFonts w:ascii="宋体" w:hAnsi="宋体"/>
          <w:color w:val="auto"/>
        </w:rPr>
        <w:t>1</w:t>
      </w:r>
      <w:r>
        <w:rPr>
          <w:rFonts w:hint="eastAsia" w:ascii="宋体" w:hAnsi="宋体"/>
          <w:color w:val="auto"/>
        </w:rPr>
        <w:t>.乙方须提供全新的货物（含零部件、配件等），表面无划伤、无碰撞痕迹，且权属清楚，不得侵害他人的知识产权。</w:t>
      </w:r>
    </w:p>
    <w:p w14:paraId="7AA08CAA">
      <w:pPr>
        <w:pStyle w:val="81"/>
        <w:ind w:firstLine="480"/>
        <w:rPr>
          <w:rFonts w:ascii="宋体" w:hAnsi="宋体"/>
          <w:color w:val="auto"/>
        </w:rPr>
      </w:pPr>
      <w:r>
        <w:rPr>
          <w:rFonts w:hint="eastAsia" w:ascii="宋体" w:hAnsi="宋体"/>
          <w:color w:val="auto"/>
        </w:rPr>
        <w:t>2.货物必须符合或优于国家（行业）XXX标准，以及本项目谈判文件的质量要求和技术指标与出厂标准。</w:t>
      </w:r>
    </w:p>
    <w:p w14:paraId="4E951010">
      <w:pPr>
        <w:pStyle w:val="81"/>
        <w:ind w:firstLine="480"/>
        <w:rPr>
          <w:rFonts w:ascii="宋体" w:hAnsi="宋体"/>
          <w:color w:val="auto"/>
        </w:rPr>
      </w:pPr>
      <w:r>
        <w:rPr>
          <w:rFonts w:hint="eastAsia" w:ascii="宋体" w:hAnsi="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15BF5FE1">
      <w:pPr>
        <w:pStyle w:val="81"/>
        <w:ind w:firstLine="480"/>
        <w:rPr>
          <w:rFonts w:ascii="宋体" w:hAnsi="宋体"/>
          <w:color w:val="auto"/>
        </w:rPr>
      </w:pPr>
      <w:r>
        <w:rPr>
          <w:rFonts w:hint="eastAsia" w:ascii="宋体" w:hAnsi="宋体"/>
          <w:color w:val="auto"/>
        </w:rPr>
        <w:t>4.货物制造质量出现问题，乙方应负责三包（包修、包换、包退），费用由乙方负担，甲方有权到乙方生产场地检查货物质量和生产进度。</w:t>
      </w:r>
    </w:p>
    <w:p w14:paraId="50A0BA15">
      <w:pPr>
        <w:pStyle w:val="81"/>
        <w:ind w:firstLine="480"/>
        <w:rPr>
          <w:rFonts w:ascii="宋体" w:hAnsi="宋体"/>
          <w:color w:val="auto"/>
        </w:rPr>
      </w:pPr>
      <w:r>
        <w:rPr>
          <w:rFonts w:hint="eastAsia" w:ascii="宋体" w:hAnsi="宋体"/>
          <w:color w:val="auto"/>
        </w:rPr>
        <w:t>5.货物到现场后由于甲方保管不当造成的质量问题，乙方亦应负责修理，但费用由甲方负担。</w:t>
      </w:r>
    </w:p>
    <w:p w14:paraId="1466FBE4">
      <w:pPr>
        <w:rPr>
          <w:rFonts w:ascii="黑体" w:hAnsi="宋体"/>
          <w:b/>
          <w:color w:val="auto"/>
          <w:sz w:val="28"/>
          <w:szCs w:val="28"/>
        </w:rPr>
      </w:pPr>
    </w:p>
    <w:p w14:paraId="729856B4">
      <w:pPr>
        <w:ind w:firstLine="472" w:firstLineChars="196"/>
        <w:rPr>
          <w:rFonts w:ascii="黑体" w:hAnsi="宋体"/>
          <w:b/>
          <w:color w:val="auto"/>
          <w:sz w:val="24"/>
        </w:rPr>
      </w:pPr>
      <w:r>
        <w:rPr>
          <w:rFonts w:hint="eastAsia" w:ascii="黑体" w:hAnsi="宋体"/>
          <w:b/>
          <w:color w:val="auto"/>
          <w:sz w:val="24"/>
        </w:rPr>
        <w:t>四、交货及验收</w:t>
      </w:r>
    </w:p>
    <w:p w14:paraId="50E417ED">
      <w:pPr>
        <w:pStyle w:val="81"/>
        <w:ind w:firstLine="480"/>
        <w:rPr>
          <w:rFonts w:ascii="宋体" w:hAnsi="宋体"/>
          <w:color w:val="auto"/>
        </w:rPr>
      </w:pPr>
      <w:r>
        <w:rPr>
          <w:rFonts w:ascii="宋体" w:hAnsi="宋体"/>
          <w:color w:val="auto"/>
        </w:rPr>
        <w:t>1</w:t>
      </w:r>
      <w:r>
        <w:rPr>
          <w:rFonts w:hint="eastAsia" w:ascii="宋体" w:hAnsi="宋体"/>
          <w:color w:val="auto"/>
        </w:rPr>
        <w:t>.乙方交货期限为合同签订生效后的XXX日内，在合同签订生效之日起（XXX）天内交货到甲方指定地点，随即在XXX日内全部完成安装调试验收合格交付使用</w:t>
      </w:r>
      <w:r>
        <w:rPr>
          <w:rFonts w:ascii="宋体" w:hAnsi="宋体"/>
          <w:color w:val="auto"/>
        </w:rPr>
        <w:t xml:space="preserve"> (</w:t>
      </w:r>
      <w:r>
        <w:rPr>
          <w:rFonts w:hint="eastAsia" w:ascii="宋体" w:hAnsi="宋体"/>
          <w:color w:val="auto"/>
        </w:rPr>
        <w:t>如由于采购人的原因造成合同延迟签订或验收的，时间顺延</w:t>
      </w:r>
      <w:r>
        <w:rPr>
          <w:rFonts w:ascii="宋体" w:hAnsi="宋体"/>
          <w:color w:val="auto"/>
        </w:rPr>
        <w:t>)</w:t>
      </w:r>
      <w:r>
        <w:rPr>
          <w:rFonts w:hint="eastAsia" w:ascii="宋体" w:hAnsi="宋体"/>
          <w:color w:val="auto"/>
        </w:rPr>
        <w:t>。交货验收时须提供产品质检部门从同类产品中抽样检查合格的检测报告。</w:t>
      </w:r>
    </w:p>
    <w:p w14:paraId="25E291B5">
      <w:pPr>
        <w:pStyle w:val="81"/>
        <w:ind w:firstLine="480"/>
        <w:rPr>
          <w:rFonts w:ascii="宋体" w:hAnsi="宋体"/>
          <w:color w:val="auto"/>
        </w:rPr>
      </w:pPr>
      <w:r>
        <w:rPr>
          <w:rFonts w:ascii="宋体" w:hAnsi="宋体"/>
          <w:color w:val="auto"/>
        </w:rPr>
        <w:t>2</w:t>
      </w:r>
      <w:r>
        <w:rPr>
          <w:rFonts w:hint="eastAsia" w:ascii="宋体" w:hAnsi="宋体"/>
          <w:color w:val="auto"/>
        </w:rPr>
        <w:t>.验收由甲方组织，乙方配合进行：</w:t>
      </w:r>
    </w:p>
    <w:p w14:paraId="1A074C70">
      <w:pPr>
        <w:pStyle w:val="81"/>
        <w:ind w:firstLine="480"/>
        <w:rPr>
          <w:rFonts w:ascii="宋体" w:hAnsi="宋体"/>
          <w:color w:val="auto"/>
        </w:rPr>
      </w:pPr>
      <w:r>
        <w:rPr>
          <w:rFonts w:ascii="宋体" w:hAnsi="宋体"/>
          <w:color w:val="auto"/>
        </w:rPr>
        <w:t xml:space="preserve">(1) </w:t>
      </w:r>
      <w:r>
        <w:rPr>
          <w:rFonts w:hint="eastAsia" w:ascii="宋体" w:hAnsi="宋体"/>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560B7A2">
      <w:pPr>
        <w:pStyle w:val="81"/>
        <w:ind w:firstLine="480"/>
        <w:rPr>
          <w:rFonts w:ascii="宋体" w:hAnsi="宋体"/>
          <w:color w:val="auto"/>
        </w:rPr>
      </w:pPr>
      <w:r>
        <w:rPr>
          <w:rFonts w:ascii="宋体" w:hAnsi="宋体"/>
          <w:color w:val="auto"/>
        </w:rPr>
        <w:t xml:space="preserve">(2) </w:t>
      </w:r>
      <w:r>
        <w:rPr>
          <w:rFonts w:hint="eastAsia" w:ascii="宋体" w:hAnsi="宋体"/>
          <w:color w:val="auto"/>
        </w:rPr>
        <w:t>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2D55A235">
      <w:pPr>
        <w:pStyle w:val="81"/>
        <w:ind w:firstLine="480"/>
        <w:rPr>
          <w:rFonts w:ascii="宋体" w:hAnsi="宋体"/>
          <w:color w:val="auto"/>
        </w:rPr>
      </w:pPr>
      <w:r>
        <w:rPr>
          <w:rFonts w:ascii="宋体" w:hAnsi="宋体"/>
          <w:color w:val="auto"/>
        </w:rPr>
        <w:t xml:space="preserve">(3) </w:t>
      </w:r>
      <w:r>
        <w:rPr>
          <w:rFonts w:hint="eastAsia" w:ascii="宋体" w:hAnsi="宋体"/>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ED2B95C">
      <w:pPr>
        <w:pStyle w:val="81"/>
        <w:ind w:firstLine="480"/>
        <w:rPr>
          <w:rFonts w:ascii="宋体" w:hAnsi="宋体"/>
          <w:color w:val="auto"/>
        </w:rPr>
      </w:pPr>
      <w:r>
        <w:rPr>
          <w:rFonts w:hint="eastAsia" w:ascii="宋体" w:hAnsi="宋体"/>
          <w:color w:val="auto"/>
        </w:rPr>
        <w:t>(4)如质量验收合格，双方签署质量验收报告。</w:t>
      </w:r>
    </w:p>
    <w:p w14:paraId="75510655">
      <w:pPr>
        <w:pStyle w:val="81"/>
        <w:ind w:firstLine="480"/>
        <w:rPr>
          <w:rFonts w:ascii="宋体" w:hAnsi="宋体"/>
          <w:color w:val="auto"/>
        </w:rPr>
      </w:pPr>
      <w:r>
        <w:rPr>
          <w:rFonts w:ascii="宋体" w:hAnsi="宋体"/>
          <w:color w:val="auto"/>
        </w:rPr>
        <w:t>3</w:t>
      </w:r>
      <w:r>
        <w:rPr>
          <w:rFonts w:hint="eastAsia" w:ascii="宋体" w:hAnsi="宋体"/>
          <w:color w:val="auto"/>
        </w:rPr>
        <w:t>.货物安装调试完毕后XXX日内，甲方无故不进行验收工作并已使用货物的，视同验收合格。</w:t>
      </w:r>
    </w:p>
    <w:p w14:paraId="245850B2">
      <w:pPr>
        <w:pStyle w:val="81"/>
        <w:ind w:firstLine="480"/>
        <w:rPr>
          <w:rFonts w:ascii="宋体" w:hAnsi="宋体"/>
          <w:color w:val="auto"/>
        </w:rPr>
      </w:pPr>
      <w:r>
        <w:rPr>
          <w:rFonts w:ascii="宋体" w:hAnsi="宋体"/>
          <w:color w:val="auto"/>
        </w:rPr>
        <w:t>4</w:t>
      </w:r>
      <w:r>
        <w:rPr>
          <w:rFonts w:hint="eastAsia" w:ascii="宋体" w:hAnsi="宋体"/>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61D298DB">
      <w:pPr>
        <w:pStyle w:val="81"/>
        <w:ind w:firstLine="480"/>
        <w:rPr>
          <w:rFonts w:ascii="宋体" w:hAnsi="宋体"/>
          <w:color w:val="auto"/>
        </w:rPr>
      </w:pPr>
      <w:r>
        <w:rPr>
          <w:rFonts w:ascii="宋体" w:hAnsi="宋体"/>
          <w:color w:val="auto"/>
        </w:rPr>
        <w:t>5</w:t>
      </w:r>
      <w:r>
        <w:rPr>
          <w:rFonts w:hint="eastAsia" w:ascii="宋体" w:hAnsi="宋体"/>
          <w:color w:val="auto"/>
        </w:rPr>
        <w:t>.如货物经乙方XXX次维修仍不能达到合同约定的质量标准，甲方有权退货，并视作乙方不能交付货物且须支付违约赔偿金给甲方，甲方还可依法追究乙方的违约责任。</w:t>
      </w:r>
    </w:p>
    <w:p w14:paraId="05B348FB">
      <w:pPr>
        <w:pStyle w:val="81"/>
        <w:ind w:firstLine="480"/>
        <w:rPr>
          <w:rFonts w:ascii="宋体" w:hAnsi="宋体"/>
          <w:color w:val="auto"/>
        </w:rPr>
      </w:pPr>
      <w:r>
        <w:rPr>
          <w:rFonts w:hint="eastAsia" w:ascii="宋体" w:hAnsi="宋体"/>
          <w:color w:val="auto"/>
        </w:rPr>
        <w:t>6.其他未尽事宜应严格按照</w:t>
      </w:r>
      <w:r>
        <w:rPr>
          <w:rFonts w:hint="eastAsia" w:ascii="宋体" w:hAnsi="宋体" w:cs="宋体"/>
          <w:bCs/>
          <w:color w:val="auto"/>
          <w:lang w:bidi="ar"/>
        </w:rPr>
        <w:t>《财政部关于进一步加强政府采购需求和履约验收管理的报导意见》（财库【2016】205 号）的要求进行验收</w:t>
      </w:r>
      <w:r>
        <w:rPr>
          <w:rFonts w:hint="eastAsia" w:ascii="宋体" w:hAnsi="宋体"/>
          <w:color w:val="auto"/>
        </w:rPr>
        <w:t>。</w:t>
      </w:r>
    </w:p>
    <w:p w14:paraId="40F5B6E3">
      <w:pPr>
        <w:ind w:firstLine="472" w:firstLineChars="196"/>
        <w:rPr>
          <w:rFonts w:ascii="黑体" w:hAnsi="宋体"/>
          <w:b/>
          <w:color w:val="auto"/>
          <w:sz w:val="24"/>
        </w:rPr>
      </w:pPr>
    </w:p>
    <w:p w14:paraId="40044072">
      <w:pPr>
        <w:ind w:firstLine="472" w:firstLineChars="196"/>
        <w:rPr>
          <w:rFonts w:ascii="黑体" w:hAnsi="宋体"/>
          <w:b/>
          <w:color w:val="auto"/>
          <w:sz w:val="24"/>
        </w:rPr>
      </w:pPr>
      <w:r>
        <w:rPr>
          <w:rFonts w:hint="eastAsia" w:ascii="黑体" w:hAnsi="宋体"/>
          <w:b/>
          <w:color w:val="auto"/>
          <w:sz w:val="24"/>
        </w:rPr>
        <w:t>五、付款方式</w:t>
      </w:r>
    </w:p>
    <w:p w14:paraId="4E6D38E3">
      <w:pPr>
        <w:pStyle w:val="81"/>
        <w:ind w:firstLine="480"/>
        <w:rPr>
          <w:rFonts w:ascii="宋体" w:hAnsi="宋体"/>
          <w:color w:val="auto"/>
        </w:rPr>
      </w:pPr>
      <w:r>
        <w:rPr>
          <w:rFonts w:ascii="宋体" w:hAnsi="宋体"/>
          <w:color w:val="auto"/>
        </w:rPr>
        <w:t>1</w:t>
      </w:r>
      <w:r>
        <w:rPr>
          <w:rFonts w:hint="eastAsia" w:ascii="宋体" w:hAnsi="宋体"/>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309806E">
      <w:pPr>
        <w:pStyle w:val="81"/>
        <w:ind w:firstLine="480"/>
        <w:rPr>
          <w:rFonts w:ascii="宋体" w:hAnsi="宋体"/>
          <w:color w:val="auto"/>
        </w:rPr>
      </w:pPr>
      <w:r>
        <w:rPr>
          <w:rFonts w:ascii="宋体" w:hAnsi="宋体"/>
          <w:color w:val="auto"/>
        </w:rPr>
        <w:t>2</w:t>
      </w:r>
      <w:r>
        <w:rPr>
          <w:rFonts w:hint="eastAsia" w:ascii="宋体" w:hAnsi="宋体"/>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288649A7">
      <w:pPr>
        <w:pStyle w:val="81"/>
        <w:ind w:firstLine="480"/>
        <w:rPr>
          <w:rFonts w:ascii="宋体" w:hAnsi="宋体"/>
          <w:color w:val="auto"/>
        </w:rPr>
      </w:pPr>
      <w:r>
        <w:rPr>
          <w:rFonts w:ascii="宋体" w:hAnsi="宋体"/>
          <w:color w:val="auto"/>
        </w:rPr>
        <w:t>3</w:t>
      </w:r>
      <w:r>
        <w:rPr>
          <w:rFonts w:hint="eastAsia" w:ascii="宋体" w:hAnsi="宋体"/>
          <w:color w:val="auto"/>
        </w:rPr>
        <w:t>.乙方须向甲方出具合法有效完整的完税发票及凭证资料进行支付结算。</w:t>
      </w:r>
    </w:p>
    <w:p w14:paraId="001438C3">
      <w:pPr>
        <w:pStyle w:val="81"/>
        <w:ind w:firstLine="480"/>
        <w:rPr>
          <w:rFonts w:ascii="宋体" w:hAnsi="宋体"/>
          <w:color w:val="auto"/>
        </w:rPr>
      </w:pPr>
      <w:r>
        <w:rPr>
          <w:rFonts w:hint="eastAsia"/>
          <w:color w:val="auto"/>
        </w:rPr>
        <w:t>4.履约保证金：</w:t>
      </w:r>
      <w:r>
        <w:rPr>
          <w:rFonts w:hint="eastAsia" w:ascii="宋体" w:hAnsi="宋体"/>
          <w:color w:val="auto"/>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1CEC0D9C">
      <w:pPr>
        <w:pStyle w:val="81"/>
        <w:ind w:firstLine="562"/>
        <w:rPr>
          <w:rFonts w:ascii="黑体"/>
          <w:b/>
          <w:color w:val="auto"/>
          <w:sz w:val="28"/>
          <w:szCs w:val="28"/>
        </w:rPr>
      </w:pPr>
    </w:p>
    <w:p w14:paraId="7E013051">
      <w:pPr>
        <w:pStyle w:val="81"/>
        <w:ind w:firstLine="482"/>
        <w:rPr>
          <w:rFonts w:ascii="黑体"/>
          <w:b/>
          <w:color w:val="auto"/>
        </w:rPr>
      </w:pPr>
      <w:r>
        <w:rPr>
          <w:rFonts w:hint="eastAsia" w:ascii="黑体"/>
          <w:b/>
          <w:color w:val="auto"/>
        </w:rPr>
        <w:t>六、售后服务</w:t>
      </w:r>
    </w:p>
    <w:p w14:paraId="1B4D6C09">
      <w:pPr>
        <w:pStyle w:val="81"/>
        <w:ind w:firstLine="480"/>
        <w:rPr>
          <w:rFonts w:ascii="宋体" w:hAnsi="宋体"/>
          <w:color w:val="auto"/>
        </w:rPr>
      </w:pPr>
      <w:r>
        <w:rPr>
          <w:rFonts w:ascii="宋体" w:hAnsi="宋体"/>
          <w:color w:val="auto"/>
        </w:rPr>
        <w:t>1</w:t>
      </w:r>
      <w:r>
        <w:rPr>
          <w:rFonts w:hint="eastAsia" w:ascii="宋体" w:hAnsi="宋体"/>
          <w:color w:val="auto"/>
        </w:rPr>
        <w:t>.质保期为验收合格后</w:t>
      </w:r>
      <w:r>
        <w:rPr>
          <w:rFonts w:hint="eastAsia"/>
          <w:color w:val="auto"/>
          <w:szCs w:val="21"/>
        </w:rPr>
        <w:t>XX</w:t>
      </w:r>
      <w:r>
        <w:rPr>
          <w:rFonts w:hint="eastAsia" w:ascii="宋体" w:hAnsi="宋体"/>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23E1A01">
      <w:pPr>
        <w:pStyle w:val="81"/>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p w14:paraId="31EF3749">
      <w:pPr>
        <w:ind w:firstLine="472" w:firstLineChars="196"/>
        <w:rPr>
          <w:rFonts w:ascii="黑体" w:hAnsi="宋体"/>
          <w:b/>
          <w:color w:val="auto"/>
          <w:sz w:val="24"/>
        </w:rPr>
      </w:pPr>
    </w:p>
    <w:p w14:paraId="69F1C07A">
      <w:pPr>
        <w:ind w:firstLine="472" w:firstLineChars="196"/>
        <w:rPr>
          <w:rFonts w:ascii="黑体" w:hAnsi="宋体"/>
          <w:b/>
          <w:color w:val="auto"/>
          <w:sz w:val="24"/>
        </w:rPr>
      </w:pPr>
      <w:r>
        <w:rPr>
          <w:rFonts w:hint="eastAsia" w:ascii="黑体" w:hAnsi="宋体"/>
          <w:b/>
          <w:color w:val="auto"/>
          <w:sz w:val="24"/>
        </w:rPr>
        <w:t>七、违约责任</w:t>
      </w:r>
    </w:p>
    <w:p w14:paraId="224EA77D">
      <w:pPr>
        <w:pStyle w:val="81"/>
        <w:ind w:firstLine="480"/>
        <w:rPr>
          <w:rFonts w:ascii="宋体" w:hAnsi="宋体"/>
          <w:color w:val="auto"/>
        </w:rPr>
      </w:pPr>
      <w:r>
        <w:rPr>
          <w:rFonts w:ascii="宋体" w:hAnsi="宋体"/>
          <w:color w:val="auto"/>
        </w:rPr>
        <w:t>1</w:t>
      </w:r>
      <w:r>
        <w:rPr>
          <w:rFonts w:hint="eastAsia" w:ascii="宋体" w:hAnsi="宋体"/>
          <w:color w:val="auto"/>
        </w:rPr>
        <w:t>.甲方违约责任</w:t>
      </w:r>
    </w:p>
    <w:p w14:paraId="2AC5DFCA">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）甲方无正当理由拒收货物的，甲方应偿付合同总价百分之XXX的违约金；</w:t>
      </w:r>
    </w:p>
    <w:p w14:paraId="2AD796E8">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）甲方逾期支付货款的，除应及时付足货款外，</w:t>
      </w:r>
      <w:r>
        <w:rPr>
          <w:rFonts w:ascii="宋体" w:hAnsi="宋体"/>
          <w:color w:val="auto"/>
        </w:rPr>
        <w:t>应向乙方偿付欠款总额万分之</w:t>
      </w:r>
      <w:r>
        <w:rPr>
          <w:rFonts w:hint="eastAsia" w:ascii="宋体" w:hAnsi="宋体"/>
          <w:color w:val="auto"/>
        </w:rPr>
        <w:t>XXX</w:t>
      </w:r>
      <w:r>
        <w:rPr>
          <w:rFonts w:ascii="宋体" w:hAnsi="宋体"/>
          <w:color w:val="auto"/>
        </w:rPr>
        <w:t>/天</w:t>
      </w:r>
      <w:r>
        <w:rPr>
          <w:rFonts w:hint="eastAsia" w:ascii="宋体" w:hAnsi="宋体"/>
          <w:color w:val="auto"/>
        </w:rPr>
        <w:t>的违约金；逾期付款超过XXX天的，乙方有权终止合同；</w:t>
      </w:r>
    </w:p>
    <w:p w14:paraId="732D3C1D">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w:t>
      </w:r>
      <w:r>
        <w:rPr>
          <w:rFonts w:ascii="宋体" w:hAnsi="宋体"/>
          <w:color w:val="auto"/>
        </w:rPr>
        <w:t xml:space="preserve"> </w:t>
      </w:r>
      <w:r>
        <w:rPr>
          <w:rFonts w:hint="eastAsia" w:ascii="宋体" w:hAnsi="宋体"/>
          <w:color w:val="auto"/>
        </w:rPr>
        <w:t>甲方偿付的违约金不足以弥补乙方损失的，还应按乙方损失尚未弥补的部分，支付赔偿金给乙方。</w:t>
      </w:r>
    </w:p>
    <w:p w14:paraId="7F317751">
      <w:pPr>
        <w:pStyle w:val="81"/>
        <w:ind w:firstLine="480"/>
        <w:rPr>
          <w:rFonts w:ascii="宋体" w:hAnsi="宋体"/>
          <w:color w:val="auto"/>
        </w:rPr>
      </w:pPr>
      <w:r>
        <w:rPr>
          <w:rFonts w:ascii="宋体" w:hAnsi="宋体"/>
          <w:color w:val="auto"/>
        </w:rPr>
        <w:t>2</w:t>
      </w:r>
      <w:r>
        <w:rPr>
          <w:rFonts w:hint="eastAsia" w:ascii="宋体" w:hAnsi="宋体"/>
          <w:color w:val="auto"/>
        </w:rPr>
        <w:t>.乙方违约责任</w:t>
      </w:r>
    </w:p>
    <w:p w14:paraId="51E35319">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A5DB2B9">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）乙方不能交付货物或逾期交付货物而违约的，除应及时交足货物外，</w:t>
      </w:r>
      <w:r>
        <w:rPr>
          <w:rFonts w:ascii="宋体" w:hAnsi="宋体"/>
          <w:color w:val="auto"/>
        </w:rPr>
        <w:t>应向甲方偿付逾期交货部分货款总额的万分之</w:t>
      </w:r>
      <w:r>
        <w:rPr>
          <w:rFonts w:hint="eastAsia" w:ascii="宋体" w:hAnsi="宋体"/>
          <w:color w:val="auto"/>
        </w:rPr>
        <w:t>XXX</w:t>
      </w:r>
      <w:r>
        <w:rPr>
          <w:rFonts w:ascii="宋体" w:hAnsi="宋体"/>
          <w:color w:val="auto"/>
        </w:rPr>
        <w:t>/天</w:t>
      </w:r>
      <w:r>
        <w:rPr>
          <w:rFonts w:hint="eastAsia" w:ascii="宋体" w:hAnsi="宋体"/>
          <w:color w:val="auto"/>
        </w:rPr>
        <w:t>的违约金；逾期交货超过</w:t>
      </w:r>
      <w:r>
        <w:rPr>
          <w:rFonts w:hint="eastAsia"/>
          <w:color w:val="auto"/>
          <w:szCs w:val="21"/>
        </w:rPr>
        <w:t>XX</w:t>
      </w:r>
      <w:r>
        <w:rPr>
          <w:rFonts w:hint="eastAsia" w:ascii="宋体" w:hAnsi="宋体"/>
          <w:color w:val="auto"/>
        </w:rPr>
        <w:t>天，甲方有权终止合同，乙方则应按合同总价的百分之XXX的款额向甲方偿付赔偿金，并须全额退还甲方已经付给乙方的货款及其利息。</w:t>
      </w:r>
    </w:p>
    <w:p w14:paraId="1C0F2D26">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2903D01">
      <w:pPr>
        <w:pStyle w:val="81"/>
        <w:ind w:firstLine="480"/>
        <w:rPr>
          <w:rFonts w:ascii="宋体" w:hAnsi="宋体"/>
          <w:color w:val="auto"/>
        </w:rPr>
      </w:pPr>
      <w:r>
        <w:rPr>
          <w:rFonts w:hint="eastAsia" w:ascii="宋体" w:hAnsi="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0D00394">
      <w:pPr>
        <w:pStyle w:val="81"/>
        <w:ind w:firstLine="48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）乙方偿付的违约金不足以弥补甲方损失的，还应按甲方损失尚未弥补的部分，支付赔偿金给甲方。</w:t>
      </w:r>
    </w:p>
    <w:p w14:paraId="336876CD">
      <w:pPr>
        <w:ind w:firstLine="361" w:firstLineChars="150"/>
        <w:rPr>
          <w:rFonts w:ascii="宋体" w:hAnsi="宋体"/>
          <w:b/>
          <w:color w:val="auto"/>
          <w:sz w:val="24"/>
        </w:rPr>
      </w:pPr>
    </w:p>
    <w:p w14:paraId="674F20AE">
      <w:pPr>
        <w:ind w:firstLine="479" w:firstLineChars="199"/>
        <w:rPr>
          <w:rFonts w:ascii="宋体" w:hAnsi="宋体"/>
          <w:b/>
          <w:color w:val="auto"/>
          <w:sz w:val="24"/>
        </w:rPr>
      </w:pPr>
      <w:r>
        <w:rPr>
          <w:rFonts w:hint="eastAsia" w:ascii="宋体" w:hAnsi="宋体"/>
          <w:b/>
          <w:color w:val="auto"/>
          <w:sz w:val="24"/>
        </w:rPr>
        <w:t>八、争议解决办法</w:t>
      </w:r>
    </w:p>
    <w:p w14:paraId="28F30447">
      <w:pPr>
        <w:pStyle w:val="81"/>
        <w:ind w:firstLine="480"/>
        <w:rPr>
          <w:rFonts w:ascii="宋体" w:hAnsi="宋体"/>
          <w:color w:val="auto"/>
        </w:rPr>
      </w:pPr>
      <w:r>
        <w:rPr>
          <w:rFonts w:ascii="宋体" w:hAnsi="宋体"/>
          <w:color w:val="auto"/>
        </w:rPr>
        <w:t>1</w:t>
      </w:r>
      <w:r>
        <w:rPr>
          <w:rFonts w:hint="eastAsia" w:ascii="宋体" w:hAnsi="宋体"/>
          <w:color w:val="auto"/>
        </w:rPr>
        <w:t>.因货物的质量问题发生争议，由质量技术监督部门或其指定的质量鉴定机构进行质量鉴定。货物符合标准的，鉴定费由甲方承担；货物不符合质量标准的，鉴定费由乙方承担。</w:t>
      </w:r>
    </w:p>
    <w:p w14:paraId="4AFC7083">
      <w:pPr>
        <w:pStyle w:val="81"/>
        <w:ind w:firstLine="480"/>
        <w:rPr>
          <w:rFonts w:ascii="宋体" w:hAnsi="宋体"/>
          <w:color w:val="auto"/>
        </w:rPr>
      </w:pPr>
      <w:r>
        <w:rPr>
          <w:rFonts w:ascii="宋体" w:hAnsi="宋体"/>
          <w:color w:val="auto"/>
        </w:rPr>
        <w:t>2</w:t>
      </w:r>
      <w:r>
        <w:rPr>
          <w:rFonts w:hint="eastAsia" w:ascii="宋体" w:hAnsi="宋体"/>
          <w:color w:val="auto"/>
        </w:rPr>
        <w:t>.合同履行期间</w:t>
      </w:r>
      <w:r>
        <w:rPr>
          <w:rFonts w:ascii="宋体" w:hAnsi="宋体"/>
          <w:color w:val="auto"/>
        </w:rPr>
        <w:t>,</w:t>
      </w:r>
      <w:r>
        <w:rPr>
          <w:rFonts w:hint="eastAsia" w:ascii="宋体" w:hAnsi="宋体"/>
          <w:color w:val="auto"/>
        </w:rPr>
        <w:t>若双方发生争议，可协商或由有关部门调解解决，协商或调解不成的，由当事人依法维护其合法权益。</w:t>
      </w:r>
    </w:p>
    <w:p w14:paraId="49902B7F">
      <w:pPr>
        <w:ind w:firstLine="361" w:firstLineChars="150"/>
        <w:rPr>
          <w:rFonts w:ascii="宋体" w:hAnsi="宋体"/>
          <w:b/>
          <w:color w:val="auto"/>
          <w:sz w:val="24"/>
        </w:rPr>
      </w:pPr>
    </w:p>
    <w:p w14:paraId="0D51A333">
      <w:pPr>
        <w:ind w:firstLine="360" w:firstLineChars="128"/>
        <w:rPr>
          <w:rFonts w:ascii="黑体" w:hAnsi="宋体"/>
          <w:b/>
          <w:color w:val="auto"/>
          <w:sz w:val="28"/>
          <w:szCs w:val="28"/>
        </w:rPr>
      </w:pPr>
      <w:r>
        <w:rPr>
          <w:rFonts w:hint="eastAsia" w:ascii="黑体" w:hAnsi="宋体"/>
          <w:b/>
          <w:color w:val="auto"/>
          <w:sz w:val="28"/>
          <w:szCs w:val="28"/>
        </w:rPr>
        <w:t>九、其他</w:t>
      </w:r>
    </w:p>
    <w:p w14:paraId="6E9172D9">
      <w:pPr>
        <w:pStyle w:val="81"/>
        <w:ind w:firstLine="480"/>
        <w:rPr>
          <w:rFonts w:ascii="宋体" w:hAnsi="宋体"/>
          <w:color w:val="auto"/>
        </w:rPr>
      </w:pPr>
      <w:r>
        <w:rPr>
          <w:rFonts w:ascii="宋体" w:hAnsi="宋体"/>
          <w:color w:val="auto"/>
        </w:rPr>
        <w:t>1</w:t>
      </w:r>
      <w:r>
        <w:rPr>
          <w:rFonts w:hint="eastAsia" w:ascii="宋体" w:hAnsi="宋体"/>
          <w:color w:val="auto"/>
        </w:rPr>
        <w:t>.如有未尽事宜，由双方依法订立补充合同。</w:t>
      </w:r>
    </w:p>
    <w:p w14:paraId="212A7954">
      <w:pPr>
        <w:pStyle w:val="81"/>
        <w:ind w:firstLine="480"/>
        <w:rPr>
          <w:rFonts w:ascii="宋体" w:hAnsi="宋体"/>
          <w:color w:val="auto"/>
        </w:rPr>
      </w:pPr>
      <w:r>
        <w:rPr>
          <w:rFonts w:ascii="宋体" w:hAnsi="宋体"/>
          <w:color w:val="auto"/>
        </w:rPr>
        <w:t>2</w:t>
      </w:r>
      <w:r>
        <w:rPr>
          <w:rFonts w:hint="eastAsia" w:ascii="宋体" w:hAnsi="宋体"/>
          <w:color w:val="auto"/>
        </w:rPr>
        <w:t>.本合同双方应加盖骑缝章。</w:t>
      </w:r>
    </w:p>
    <w:p w14:paraId="5ADD78D7">
      <w:pPr>
        <w:pStyle w:val="81"/>
        <w:ind w:firstLine="480"/>
        <w:rPr>
          <w:rFonts w:ascii="宋体" w:hAnsi="宋体"/>
          <w:color w:val="auto"/>
        </w:rPr>
      </w:pPr>
      <w:r>
        <w:rPr>
          <w:rFonts w:hint="eastAsia" w:ascii="宋体" w:hAnsi="宋体"/>
          <w:color w:val="auto"/>
        </w:rPr>
        <w:t>3.本合同一式四份，自双方签章后生效。甲方、乙方、采购代理机构各一份。</w:t>
      </w:r>
    </w:p>
    <w:p w14:paraId="3CD3714C">
      <w:pPr>
        <w:pStyle w:val="165"/>
        <w:spacing w:line="360" w:lineRule="auto"/>
        <w:ind w:firstLine="480"/>
        <w:rPr>
          <w:rFonts w:ascii="宋体" w:hAnsi="宋体"/>
          <w:color w:val="auto"/>
          <w:sz w:val="24"/>
        </w:rPr>
      </w:pPr>
    </w:p>
    <w:p w14:paraId="62CC3C6F">
      <w:pPr>
        <w:spacing w:line="400" w:lineRule="exact"/>
        <w:ind w:firstLine="480" w:firstLineChars="200"/>
        <w:rPr>
          <w:rFonts w:ascii="宋体" w:hAnsi="宋体"/>
          <w:color w:val="auto"/>
          <w:sz w:val="24"/>
        </w:rPr>
      </w:pPr>
      <w:r>
        <w:rPr>
          <w:rFonts w:hint="eastAsia" w:ascii="宋体" w:hAnsi="宋体"/>
          <w:color w:val="auto"/>
          <w:sz w:val="24"/>
        </w:rPr>
        <w:t>甲方：   （盖单位公章）</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 xml:space="preserve"> </w:t>
      </w:r>
      <w:r>
        <w:rPr>
          <w:rFonts w:hint="eastAsia" w:ascii="宋体" w:hAnsi="宋体"/>
          <w:color w:val="auto"/>
          <w:sz w:val="24"/>
        </w:rPr>
        <w:t xml:space="preserve">   乙方：</w:t>
      </w:r>
      <w:r>
        <w:rPr>
          <w:rFonts w:ascii="宋体" w:hAnsi="宋体"/>
          <w:color w:val="auto"/>
          <w:sz w:val="24"/>
        </w:rPr>
        <w:t xml:space="preserve">   </w:t>
      </w:r>
      <w:r>
        <w:rPr>
          <w:rFonts w:hint="eastAsia" w:ascii="宋体" w:hAnsi="宋体"/>
          <w:color w:val="auto"/>
          <w:sz w:val="24"/>
        </w:rPr>
        <w:t>（盖单位公章）</w:t>
      </w:r>
    </w:p>
    <w:p w14:paraId="51168430">
      <w:pPr>
        <w:spacing w:line="400" w:lineRule="exact"/>
        <w:ind w:firstLine="480" w:firstLineChars="200"/>
        <w:rPr>
          <w:rFonts w:ascii="宋体" w:hAnsi="宋体"/>
          <w:color w:val="auto"/>
          <w:sz w:val="24"/>
        </w:rPr>
      </w:pPr>
      <w:r>
        <w:rPr>
          <w:rFonts w:hint="eastAsia" w:ascii="宋体" w:hAnsi="宋体"/>
          <w:color w:val="auto"/>
          <w:sz w:val="24"/>
        </w:rPr>
        <w:t>法定代表人（授权代表）：</w:t>
      </w:r>
      <w:r>
        <w:rPr>
          <w:rFonts w:ascii="宋体" w:hAnsi="宋体"/>
          <w:color w:val="auto"/>
          <w:sz w:val="24"/>
        </w:rPr>
        <w:t xml:space="preserve">           </w:t>
      </w:r>
      <w:r>
        <w:rPr>
          <w:rFonts w:hint="eastAsia" w:ascii="宋体" w:hAnsi="宋体"/>
          <w:color w:val="auto"/>
          <w:sz w:val="24"/>
        </w:rPr>
        <w:t>法定代表人（授权代表）：</w:t>
      </w:r>
    </w:p>
    <w:p w14:paraId="75E95E28">
      <w:pPr>
        <w:spacing w:line="400" w:lineRule="exact"/>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 xml:space="preserve">                         </w:t>
      </w: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p w14:paraId="708C86AB">
      <w:pPr>
        <w:spacing w:line="400" w:lineRule="exact"/>
        <w:ind w:firstLine="480" w:firstLineChars="200"/>
        <w:rPr>
          <w:rFonts w:ascii="宋体" w:hAns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rPr>
        <w:t>开户银行：</w:t>
      </w:r>
    </w:p>
    <w:p w14:paraId="1E142CBE">
      <w:pPr>
        <w:spacing w:line="400" w:lineRule="exact"/>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 xml:space="preserve">                             </w:t>
      </w:r>
      <w:r>
        <w:rPr>
          <w:rFonts w:hint="eastAsia" w:ascii="宋体" w:hAnsi="宋体"/>
          <w:color w:val="auto"/>
          <w:sz w:val="24"/>
        </w:rPr>
        <w:t>账号：</w:t>
      </w:r>
    </w:p>
    <w:p w14:paraId="43A4A0C6">
      <w:pPr>
        <w:spacing w:line="400" w:lineRule="exact"/>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14:paraId="5DCC2FA3">
      <w:pPr>
        <w:spacing w:line="400" w:lineRule="exact"/>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r>
        <w:rPr>
          <w:rFonts w:ascii="宋体" w:hAnsi="宋体"/>
          <w:color w:val="auto"/>
          <w:sz w:val="24"/>
        </w:rPr>
        <w:t xml:space="preserve">                         </w:t>
      </w: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p w14:paraId="0A9497AB">
      <w:pPr>
        <w:spacing w:line="400" w:lineRule="exact"/>
        <w:ind w:firstLine="420" w:firstLineChars="200"/>
        <w:rPr>
          <w:color w:val="auto"/>
        </w:rPr>
      </w:pPr>
      <w:r>
        <w:rPr>
          <w:rFonts w:hint="eastAsia"/>
          <w:color w:val="auto"/>
        </w:rPr>
        <w:t>签约日期：XX年XX月XX日</w:t>
      </w:r>
      <w:r>
        <w:rPr>
          <w:color w:val="auto"/>
        </w:rPr>
        <w:t xml:space="preserve"> </w:t>
      </w:r>
      <w:r>
        <w:rPr>
          <w:color w:val="auto"/>
        </w:rPr>
        <w:tab/>
      </w:r>
      <w:r>
        <w:rPr>
          <w:color w:val="auto"/>
        </w:rPr>
        <w:tab/>
      </w:r>
      <w:r>
        <w:rPr>
          <w:color w:val="auto"/>
        </w:rPr>
        <w:tab/>
      </w:r>
      <w:r>
        <w:rPr>
          <w:rFonts w:hint="eastAsia"/>
          <w:color w:val="auto"/>
        </w:rPr>
        <w:t>签约日期：XX年XX月XX日</w:t>
      </w:r>
    </w:p>
    <w:p w14:paraId="6E0A1556">
      <w:pPr>
        <w:rPr>
          <w:color w:val="auto"/>
        </w:rPr>
      </w:pPr>
    </w:p>
    <w:sectPr>
      <w:footerReference r:id="rId9"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D80F">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401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653">
    <w:pPr>
      <w:pStyle w:val="27"/>
      <w:jc w:val="center"/>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B793A">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5B3B793A">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56A84">
                          <w:pPr>
                            <w:pStyle w:val="27"/>
                            <w:rPr>
                              <w:rFonts w:hint="default" w:eastAsia="宋体"/>
                              <w:lang w:val="en-US" w:eastAsia="zh-C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DC56A84">
                    <w:pPr>
                      <w:pStyle w:val="27"/>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92A9">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D7E6">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66F0D7E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A652">
                          <w:pPr>
                            <w:pStyle w:val="27"/>
                            <w:rPr>
                              <w:rFonts w:hint="default" w:eastAsia="宋体"/>
                              <w:lang w:val="en-US"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DF2A652">
                    <w:pPr>
                      <w:pStyle w:val="27"/>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66A2">
    <w:pPr>
      <w:pStyle w:val="27"/>
      <w:jc w:val="center"/>
      <w:rPr>
        <w:rFonts w:ascii="宋体"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198E5">
                          <w:pPr>
                            <w:pStyle w:val="2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35E198E5">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D292">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80E2D">
                          <w:pPr>
                            <w:pStyle w:val="2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14:paraId="11180E2D">
                    <w:pPr>
                      <w:pStyle w:val="27"/>
                    </w:pPr>
                    <w:r>
                      <w:fldChar w:fldCharType="begin"/>
                    </w:r>
                    <w:r>
                      <w:instrText xml:space="preserve"> PAGE  \* MERGEFORMAT </w:instrText>
                    </w:r>
                    <w:r>
                      <w:fldChar w:fldCharType="separate"/>
                    </w:r>
                    <w:r>
                      <w:t>43</w:t>
                    </w:r>
                    <w:r>
                      <w:fldChar w:fldCharType="end"/>
                    </w:r>
                  </w:p>
                </w:txbxContent>
              </v:textbox>
            </v:shape>
          </w:pict>
        </mc:Fallback>
      </mc:AlternateContent>
    </w:r>
  </w:p>
  <w:p w14:paraId="2C5746AB">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5CD">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0000007"/>
    <w:multiLevelType w:val="multilevel"/>
    <w:tmpl w:val="00000007"/>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87043"/>
    <w:multiLevelType w:val="multilevel"/>
    <w:tmpl w:val="0588704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8404AB"/>
    <w:multiLevelType w:val="multilevel"/>
    <w:tmpl w:val="688404AB"/>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zMyMTc4Mjk1ZDYxOGRiZDkyMTFmY2M5YzA4NjcifQ=="/>
  </w:docVars>
  <w:rsids>
    <w:rsidRoot w:val="001B7856"/>
    <w:rsid w:val="00013B8C"/>
    <w:rsid w:val="00046827"/>
    <w:rsid w:val="0006292E"/>
    <w:rsid w:val="00071135"/>
    <w:rsid w:val="00093B73"/>
    <w:rsid w:val="00114C7D"/>
    <w:rsid w:val="00115D0B"/>
    <w:rsid w:val="0014064A"/>
    <w:rsid w:val="00195B8B"/>
    <w:rsid w:val="001B6914"/>
    <w:rsid w:val="001B7856"/>
    <w:rsid w:val="001E6727"/>
    <w:rsid w:val="00232A7B"/>
    <w:rsid w:val="00281055"/>
    <w:rsid w:val="002A2D20"/>
    <w:rsid w:val="002C3CF0"/>
    <w:rsid w:val="002E433C"/>
    <w:rsid w:val="0031084E"/>
    <w:rsid w:val="003253AB"/>
    <w:rsid w:val="00376A5D"/>
    <w:rsid w:val="00395FB7"/>
    <w:rsid w:val="0039684A"/>
    <w:rsid w:val="0041358E"/>
    <w:rsid w:val="00422D48"/>
    <w:rsid w:val="0048440C"/>
    <w:rsid w:val="004A1A74"/>
    <w:rsid w:val="004F2195"/>
    <w:rsid w:val="0055269C"/>
    <w:rsid w:val="005A045D"/>
    <w:rsid w:val="00610DF7"/>
    <w:rsid w:val="00654F60"/>
    <w:rsid w:val="006B4076"/>
    <w:rsid w:val="006D163D"/>
    <w:rsid w:val="00714980"/>
    <w:rsid w:val="00777625"/>
    <w:rsid w:val="007B06B1"/>
    <w:rsid w:val="007E2739"/>
    <w:rsid w:val="007E38A1"/>
    <w:rsid w:val="008142B3"/>
    <w:rsid w:val="008311D2"/>
    <w:rsid w:val="008713DA"/>
    <w:rsid w:val="008A7F3E"/>
    <w:rsid w:val="008B5754"/>
    <w:rsid w:val="008F1CC6"/>
    <w:rsid w:val="00901657"/>
    <w:rsid w:val="00917CA9"/>
    <w:rsid w:val="00940CAF"/>
    <w:rsid w:val="0097066A"/>
    <w:rsid w:val="009B4907"/>
    <w:rsid w:val="009C1300"/>
    <w:rsid w:val="009F4A62"/>
    <w:rsid w:val="00A14D72"/>
    <w:rsid w:val="00A73F26"/>
    <w:rsid w:val="00A7529B"/>
    <w:rsid w:val="00A76B05"/>
    <w:rsid w:val="00A96F13"/>
    <w:rsid w:val="00AD6FD2"/>
    <w:rsid w:val="00AE04F7"/>
    <w:rsid w:val="00AF4BC4"/>
    <w:rsid w:val="00B01457"/>
    <w:rsid w:val="00B1108B"/>
    <w:rsid w:val="00B90ACD"/>
    <w:rsid w:val="00C16C69"/>
    <w:rsid w:val="00C60C57"/>
    <w:rsid w:val="00C623EE"/>
    <w:rsid w:val="00C91120"/>
    <w:rsid w:val="00CD1ED7"/>
    <w:rsid w:val="00D075D3"/>
    <w:rsid w:val="00D76626"/>
    <w:rsid w:val="00DA4245"/>
    <w:rsid w:val="00DD0B71"/>
    <w:rsid w:val="00DD49C5"/>
    <w:rsid w:val="00E034F4"/>
    <w:rsid w:val="00E21045"/>
    <w:rsid w:val="00E66F5B"/>
    <w:rsid w:val="00EC5F98"/>
    <w:rsid w:val="00F067AD"/>
    <w:rsid w:val="00F31D2B"/>
    <w:rsid w:val="00F535BF"/>
    <w:rsid w:val="00FC4B38"/>
    <w:rsid w:val="00FD1788"/>
    <w:rsid w:val="00FE191F"/>
    <w:rsid w:val="01593504"/>
    <w:rsid w:val="01DF79C5"/>
    <w:rsid w:val="0248765C"/>
    <w:rsid w:val="02644F89"/>
    <w:rsid w:val="02972330"/>
    <w:rsid w:val="03192AF9"/>
    <w:rsid w:val="0363551B"/>
    <w:rsid w:val="04542823"/>
    <w:rsid w:val="0503010C"/>
    <w:rsid w:val="052474E0"/>
    <w:rsid w:val="083212DB"/>
    <w:rsid w:val="089613E5"/>
    <w:rsid w:val="09724A4D"/>
    <w:rsid w:val="0A981059"/>
    <w:rsid w:val="0ACB4F8A"/>
    <w:rsid w:val="0B65225E"/>
    <w:rsid w:val="0C81608C"/>
    <w:rsid w:val="0E235001"/>
    <w:rsid w:val="0E8B2262"/>
    <w:rsid w:val="0F274918"/>
    <w:rsid w:val="124943DD"/>
    <w:rsid w:val="1386575E"/>
    <w:rsid w:val="13903910"/>
    <w:rsid w:val="139F43DD"/>
    <w:rsid w:val="14037837"/>
    <w:rsid w:val="14880548"/>
    <w:rsid w:val="15312996"/>
    <w:rsid w:val="17DF076C"/>
    <w:rsid w:val="180A6472"/>
    <w:rsid w:val="18AB1984"/>
    <w:rsid w:val="18CC2072"/>
    <w:rsid w:val="1903629F"/>
    <w:rsid w:val="1AF57E02"/>
    <w:rsid w:val="1B426668"/>
    <w:rsid w:val="1B5D7BBF"/>
    <w:rsid w:val="1CB41B29"/>
    <w:rsid w:val="1CCB2BC8"/>
    <w:rsid w:val="1E4F5333"/>
    <w:rsid w:val="1E91399D"/>
    <w:rsid w:val="1F1817BF"/>
    <w:rsid w:val="1FAA45B6"/>
    <w:rsid w:val="20252565"/>
    <w:rsid w:val="20763D13"/>
    <w:rsid w:val="208B0784"/>
    <w:rsid w:val="20E96E42"/>
    <w:rsid w:val="211051A0"/>
    <w:rsid w:val="21843A49"/>
    <w:rsid w:val="24067806"/>
    <w:rsid w:val="242A3464"/>
    <w:rsid w:val="249D784B"/>
    <w:rsid w:val="24C77C12"/>
    <w:rsid w:val="24E069A6"/>
    <w:rsid w:val="253330E1"/>
    <w:rsid w:val="261C3DE0"/>
    <w:rsid w:val="27DF0762"/>
    <w:rsid w:val="28E543E7"/>
    <w:rsid w:val="295977AD"/>
    <w:rsid w:val="29B275D9"/>
    <w:rsid w:val="2A213D7C"/>
    <w:rsid w:val="2A9E5869"/>
    <w:rsid w:val="2BD34AB9"/>
    <w:rsid w:val="2C3E2572"/>
    <w:rsid w:val="2D9A6BC0"/>
    <w:rsid w:val="2F103DE7"/>
    <w:rsid w:val="2F6A68E0"/>
    <w:rsid w:val="2F9615BC"/>
    <w:rsid w:val="306F3C90"/>
    <w:rsid w:val="30BF4FBE"/>
    <w:rsid w:val="30D31DAB"/>
    <w:rsid w:val="30FB0CC6"/>
    <w:rsid w:val="31370A86"/>
    <w:rsid w:val="31622897"/>
    <w:rsid w:val="32380673"/>
    <w:rsid w:val="329D4BAF"/>
    <w:rsid w:val="32F17901"/>
    <w:rsid w:val="33541F8A"/>
    <w:rsid w:val="33B422B8"/>
    <w:rsid w:val="33EA00AC"/>
    <w:rsid w:val="33F65C41"/>
    <w:rsid w:val="33FE6DB1"/>
    <w:rsid w:val="344A041F"/>
    <w:rsid w:val="34673E9A"/>
    <w:rsid w:val="349B7F0B"/>
    <w:rsid w:val="352562FB"/>
    <w:rsid w:val="36D66C0F"/>
    <w:rsid w:val="389205AE"/>
    <w:rsid w:val="390C6CD5"/>
    <w:rsid w:val="39360C91"/>
    <w:rsid w:val="3A7F0149"/>
    <w:rsid w:val="3AEB6E8D"/>
    <w:rsid w:val="3B6E5325"/>
    <w:rsid w:val="3BCB64FF"/>
    <w:rsid w:val="3BE30BF1"/>
    <w:rsid w:val="3BFD0B92"/>
    <w:rsid w:val="3C6D779B"/>
    <w:rsid w:val="3CAA20F6"/>
    <w:rsid w:val="3D4A6C1E"/>
    <w:rsid w:val="3D9D21CE"/>
    <w:rsid w:val="3E305CC1"/>
    <w:rsid w:val="3E5C591E"/>
    <w:rsid w:val="3FA465F6"/>
    <w:rsid w:val="403E59D6"/>
    <w:rsid w:val="40F03056"/>
    <w:rsid w:val="41042BF5"/>
    <w:rsid w:val="41285B3F"/>
    <w:rsid w:val="41792808"/>
    <w:rsid w:val="41F60B01"/>
    <w:rsid w:val="434167CD"/>
    <w:rsid w:val="436201A0"/>
    <w:rsid w:val="45A34794"/>
    <w:rsid w:val="48A276C6"/>
    <w:rsid w:val="48DC5FEB"/>
    <w:rsid w:val="48EF5D53"/>
    <w:rsid w:val="49767C51"/>
    <w:rsid w:val="4A193C28"/>
    <w:rsid w:val="4B482EC2"/>
    <w:rsid w:val="4B8D35BB"/>
    <w:rsid w:val="4D0259DD"/>
    <w:rsid w:val="4E697FD0"/>
    <w:rsid w:val="4E8216C8"/>
    <w:rsid w:val="4F7A663A"/>
    <w:rsid w:val="4F856140"/>
    <w:rsid w:val="4FD14D26"/>
    <w:rsid w:val="52A5743C"/>
    <w:rsid w:val="52F60F5A"/>
    <w:rsid w:val="53B01D26"/>
    <w:rsid w:val="53E108A2"/>
    <w:rsid w:val="53E4287F"/>
    <w:rsid w:val="54A379AB"/>
    <w:rsid w:val="54DC5799"/>
    <w:rsid w:val="54DD4AA9"/>
    <w:rsid w:val="55506FE0"/>
    <w:rsid w:val="56430A2A"/>
    <w:rsid w:val="56C358D0"/>
    <w:rsid w:val="56EA6E6F"/>
    <w:rsid w:val="573C7A56"/>
    <w:rsid w:val="579D4B86"/>
    <w:rsid w:val="57E5399E"/>
    <w:rsid w:val="57F563B4"/>
    <w:rsid w:val="58FA395E"/>
    <w:rsid w:val="592E5D28"/>
    <w:rsid w:val="5A8F3EC7"/>
    <w:rsid w:val="5B863484"/>
    <w:rsid w:val="5C1563AE"/>
    <w:rsid w:val="5C1D7062"/>
    <w:rsid w:val="5C852CFE"/>
    <w:rsid w:val="5C8956D8"/>
    <w:rsid w:val="5CDD77D2"/>
    <w:rsid w:val="5D3F7CAA"/>
    <w:rsid w:val="5DF27C66"/>
    <w:rsid w:val="5E6A187F"/>
    <w:rsid w:val="5E98665A"/>
    <w:rsid w:val="5FB04FB7"/>
    <w:rsid w:val="5FEA4E54"/>
    <w:rsid w:val="62850719"/>
    <w:rsid w:val="62B94257"/>
    <w:rsid w:val="63C73E1D"/>
    <w:rsid w:val="66647AE5"/>
    <w:rsid w:val="6ADB09C3"/>
    <w:rsid w:val="6B60619E"/>
    <w:rsid w:val="6B9C0BE3"/>
    <w:rsid w:val="6BA305F7"/>
    <w:rsid w:val="6BD37723"/>
    <w:rsid w:val="6C0030AD"/>
    <w:rsid w:val="6C44786E"/>
    <w:rsid w:val="6E2104E1"/>
    <w:rsid w:val="6EBE3432"/>
    <w:rsid w:val="6F011017"/>
    <w:rsid w:val="6F783939"/>
    <w:rsid w:val="701701F4"/>
    <w:rsid w:val="705225FD"/>
    <w:rsid w:val="70822ADC"/>
    <w:rsid w:val="70856140"/>
    <w:rsid w:val="730A7953"/>
    <w:rsid w:val="73114772"/>
    <w:rsid w:val="734B3290"/>
    <w:rsid w:val="7436279A"/>
    <w:rsid w:val="74671792"/>
    <w:rsid w:val="747924BC"/>
    <w:rsid w:val="74B2475F"/>
    <w:rsid w:val="750533C3"/>
    <w:rsid w:val="751E2CFF"/>
    <w:rsid w:val="755651FF"/>
    <w:rsid w:val="76E14CAF"/>
    <w:rsid w:val="77E57745"/>
    <w:rsid w:val="782903B5"/>
    <w:rsid w:val="79140DD9"/>
    <w:rsid w:val="794E7774"/>
    <w:rsid w:val="79C26413"/>
    <w:rsid w:val="79E31FA0"/>
    <w:rsid w:val="7E335F7B"/>
    <w:rsid w:val="7E7542A2"/>
    <w:rsid w:val="7ED33124"/>
    <w:rsid w:val="7F77230D"/>
    <w:rsid w:val="7F9B12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7"/>
    <w:autoRedefine/>
    <w:qFormat/>
    <w:uiPriority w:val="99"/>
    <w:pPr>
      <w:keepNext/>
      <w:keepLines/>
      <w:spacing w:before="280" w:after="290" w:line="372" w:lineRule="auto"/>
      <w:outlineLvl w:val="4"/>
    </w:pPr>
    <w:rPr>
      <w:b/>
      <w:bCs/>
      <w:sz w:val="28"/>
      <w:szCs w:val="28"/>
    </w:rPr>
  </w:style>
  <w:style w:type="paragraph" w:styleId="7">
    <w:name w:val="heading 6"/>
    <w:basedOn w:val="1"/>
    <w:next w:val="1"/>
    <w:link w:val="58"/>
    <w:autoRedefine/>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9"/>
    <w:autoRedefine/>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60"/>
    <w:autoRedefine/>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61"/>
    <w:autoRedefine/>
    <w:qFormat/>
    <w:uiPriority w:val="99"/>
    <w:pPr>
      <w:keepNext/>
      <w:keepLines/>
      <w:spacing w:before="240" w:after="64" w:line="317" w:lineRule="auto"/>
      <w:outlineLvl w:val="8"/>
    </w:pPr>
    <w:rPr>
      <w:rFonts w:ascii="Cambria" w:hAnsi="Cambria" w:cs="Cambria"/>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ascii="Calibri" w:hAnsi="Calibri" w:cs="Calibri"/>
    </w:rPr>
  </w:style>
  <w:style w:type="paragraph" w:styleId="12">
    <w:name w:val="Normal Indent"/>
    <w:basedOn w:val="1"/>
    <w:next w:val="13"/>
    <w:link w:val="169"/>
    <w:autoRedefine/>
    <w:qFormat/>
    <w:uiPriority w:val="99"/>
    <w:pPr>
      <w:ind w:firstLine="420" w:firstLineChars="200"/>
    </w:pPr>
    <w:rPr>
      <w:kern w:val="0"/>
      <w:sz w:val="24"/>
      <w:szCs w:val="24"/>
    </w:rPr>
  </w:style>
  <w:style w:type="paragraph" w:customStyle="1" w:styleId="13">
    <w:name w:val="首行缩进"/>
    <w:basedOn w:val="1"/>
    <w:autoRedefine/>
    <w:qFormat/>
    <w:uiPriority w:val="0"/>
    <w:pPr>
      <w:spacing w:line="360" w:lineRule="auto"/>
      <w:ind w:firstLine="480" w:firstLineChars="200"/>
    </w:pPr>
    <w:rPr>
      <w:sz w:val="24"/>
      <w:lang w:val="zh-CN"/>
    </w:rPr>
  </w:style>
  <w:style w:type="paragraph" w:styleId="14">
    <w:name w:val="caption"/>
    <w:basedOn w:val="1"/>
    <w:next w:val="1"/>
    <w:autoRedefine/>
    <w:qFormat/>
    <w:uiPriority w:val="99"/>
    <w:pPr>
      <w:ind w:firstLine="6290" w:firstLineChars="2282"/>
    </w:pPr>
    <w:rPr>
      <w:b/>
      <w:bCs/>
      <w:color w:val="000080"/>
      <w:sz w:val="28"/>
      <w:szCs w:val="28"/>
    </w:rPr>
  </w:style>
  <w:style w:type="paragraph" w:styleId="15">
    <w:name w:val="Document Map"/>
    <w:basedOn w:val="1"/>
    <w:link w:val="62"/>
    <w:autoRedefine/>
    <w:qFormat/>
    <w:uiPriority w:val="99"/>
    <w:rPr>
      <w:rFonts w:ascii="宋体" w:cs="宋体"/>
      <w:sz w:val="18"/>
      <w:szCs w:val="18"/>
    </w:rPr>
  </w:style>
  <w:style w:type="paragraph" w:styleId="16">
    <w:name w:val="annotation text"/>
    <w:basedOn w:val="1"/>
    <w:link w:val="63"/>
    <w:autoRedefine/>
    <w:qFormat/>
    <w:uiPriority w:val="99"/>
    <w:pPr>
      <w:jc w:val="left"/>
    </w:pPr>
    <w:rPr>
      <w:rFonts w:ascii="Calibri" w:hAnsi="Calibri" w:cs="Calibri"/>
      <w:sz w:val="18"/>
      <w:szCs w:val="18"/>
    </w:rPr>
  </w:style>
  <w:style w:type="paragraph" w:styleId="17">
    <w:name w:val="Body Text"/>
    <w:basedOn w:val="1"/>
    <w:next w:val="1"/>
    <w:link w:val="167"/>
    <w:autoRedefine/>
    <w:qFormat/>
    <w:uiPriority w:val="99"/>
    <w:pPr>
      <w:spacing w:after="120"/>
    </w:pPr>
  </w:style>
  <w:style w:type="paragraph" w:styleId="18">
    <w:name w:val="Body Text Indent"/>
    <w:basedOn w:val="1"/>
    <w:next w:val="1"/>
    <w:link w:val="170"/>
    <w:autoRedefine/>
    <w:qFormat/>
    <w:uiPriority w:val="99"/>
    <w:pPr>
      <w:ind w:firstLine="630"/>
    </w:pPr>
    <w:rPr>
      <w:sz w:val="32"/>
      <w:szCs w:val="32"/>
    </w:rPr>
  </w:style>
  <w:style w:type="paragraph" w:styleId="19">
    <w:name w:val="index 4"/>
    <w:basedOn w:val="1"/>
    <w:next w:val="1"/>
    <w:autoRedefine/>
    <w:qFormat/>
    <w:uiPriority w:val="99"/>
    <w:pPr>
      <w:ind w:left="600" w:leftChars="600"/>
    </w:pPr>
  </w:style>
  <w:style w:type="paragraph" w:styleId="20">
    <w:name w:val="toc 5"/>
    <w:basedOn w:val="1"/>
    <w:next w:val="1"/>
    <w:autoRedefine/>
    <w:qFormat/>
    <w:uiPriority w:val="99"/>
    <w:pPr>
      <w:tabs>
        <w:tab w:val="right" w:leader="dot" w:pos="8296"/>
      </w:tabs>
      <w:ind w:left="1050" w:leftChars="500"/>
    </w:pPr>
    <w:rPr>
      <w:rFonts w:ascii="Calibri" w:hAnsi="Calibri" w:cs="Calibri"/>
    </w:rPr>
  </w:style>
  <w:style w:type="paragraph" w:styleId="21">
    <w:name w:val="toc 3"/>
    <w:basedOn w:val="1"/>
    <w:next w:val="1"/>
    <w:autoRedefine/>
    <w:qFormat/>
    <w:uiPriority w:val="99"/>
    <w:pPr>
      <w:ind w:left="840" w:leftChars="400"/>
    </w:pPr>
  </w:style>
  <w:style w:type="paragraph" w:styleId="22">
    <w:name w:val="Plain Text"/>
    <w:basedOn w:val="1"/>
    <w:link w:val="66"/>
    <w:autoRedefine/>
    <w:qFormat/>
    <w:uiPriority w:val="99"/>
    <w:pPr>
      <w:autoSpaceDE w:val="0"/>
      <w:autoSpaceDN w:val="0"/>
      <w:adjustRightInd w:val="0"/>
    </w:pPr>
    <w:rPr>
      <w:rFonts w:ascii="宋体" w:hAnsi="Tms Rmn" w:cs="宋体"/>
    </w:rPr>
  </w:style>
  <w:style w:type="paragraph" w:styleId="23">
    <w:name w:val="toc 8"/>
    <w:basedOn w:val="1"/>
    <w:next w:val="1"/>
    <w:autoRedefine/>
    <w:qFormat/>
    <w:uiPriority w:val="99"/>
    <w:pPr>
      <w:ind w:left="2940" w:leftChars="1400"/>
    </w:pPr>
    <w:rPr>
      <w:rFonts w:ascii="Calibri" w:hAnsi="Calibri" w:cs="Calibri"/>
    </w:rPr>
  </w:style>
  <w:style w:type="paragraph" w:styleId="24">
    <w:name w:val="Date"/>
    <w:basedOn w:val="1"/>
    <w:next w:val="1"/>
    <w:link w:val="67"/>
    <w:autoRedefine/>
    <w:qFormat/>
    <w:uiPriority w:val="99"/>
  </w:style>
  <w:style w:type="paragraph" w:styleId="25">
    <w:name w:val="Body Text Indent 2"/>
    <w:basedOn w:val="1"/>
    <w:link w:val="68"/>
    <w:autoRedefine/>
    <w:qFormat/>
    <w:uiPriority w:val="99"/>
    <w:pPr>
      <w:spacing w:after="120" w:line="480" w:lineRule="auto"/>
      <w:ind w:left="420" w:leftChars="200"/>
    </w:pPr>
  </w:style>
  <w:style w:type="paragraph" w:styleId="26">
    <w:name w:val="Balloon Text"/>
    <w:basedOn w:val="1"/>
    <w:link w:val="69"/>
    <w:autoRedefine/>
    <w:qFormat/>
    <w:uiPriority w:val="99"/>
    <w:rPr>
      <w:sz w:val="18"/>
      <w:szCs w:val="18"/>
    </w:rPr>
  </w:style>
  <w:style w:type="paragraph" w:styleId="27">
    <w:name w:val="footer"/>
    <w:basedOn w:val="1"/>
    <w:link w:val="70"/>
    <w:autoRedefine/>
    <w:qFormat/>
    <w:uiPriority w:val="99"/>
    <w:pPr>
      <w:tabs>
        <w:tab w:val="center" w:pos="4153"/>
        <w:tab w:val="right" w:pos="8306"/>
      </w:tabs>
      <w:snapToGrid w:val="0"/>
      <w:jc w:val="left"/>
    </w:pPr>
    <w:rPr>
      <w:sz w:val="18"/>
      <w:szCs w:val="18"/>
    </w:rPr>
  </w:style>
  <w:style w:type="paragraph" w:styleId="28">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99"/>
    <w:pPr>
      <w:spacing w:line="480" w:lineRule="auto"/>
    </w:pPr>
    <w:rPr>
      <w:sz w:val="24"/>
      <w:szCs w:val="24"/>
    </w:rPr>
  </w:style>
  <w:style w:type="paragraph" w:styleId="30">
    <w:name w:val="toc 4"/>
    <w:basedOn w:val="1"/>
    <w:next w:val="1"/>
    <w:autoRedefine/>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9"/>
    <w:autoRedefine/>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autoRedefine/>
    <w:qFormat/>
    <w:uiPriority w:val="99"/>
    <w:pPr>
      <w:ind w:left="2100" w:leftChars="1000"/>
    </w:pPr>
    <w:rPr>
      <w:rFonts w:ascii="Calibri" w:hAnsi="Calibri" w:cs="Calibri"/>
    </w:rPr>
  </w:style>
  <w:style w:type="paragraph" w:styleId="33">
    <w:name w:val="Body Text Indent 3"/>
    <w:basedOn w:val="1"/>
    <w:link w:val="73"/>
    <w:autoRedefine/>
    <w:qFormat/>
    <w:uiPriority w:val="99"/>
    <w:pPr>
      <w:spacing w:after="120"/>
      <w:ind w:left="420" w:leftChars="200"/>
    </w:pPr>
    <w:rPr>
      <w:sz w:val="16"/>
      <w:szCs w:val="16"/>
    </w:rPr>
  </w:style>
  <w:style w:type="paragraph" w:styleId="34">
    <w:name w:val="index 7"/>
    <w:basedOn w:val="1"/>
    <w:next w:val="1"/>
    <w:autoRedefine/>
    <w:qFormat/>
    <w:uiPriority w:val="99"/>
    <w:pPr>
      <w:ind w:left="1200" w:leftChars="1200"/>
    </w:pPr>
  </w:style>
  <w:style w:type="paragraph" w:styleId="35">
    <w:name w:val="toc 2"/>
    <w:basedOn w:val="1"/>
    <w:next w:val="1"/>
    <w:autoRedefine/>
    <w:qFormat/>
    <w:uiPriority w:val="99"/>
    <w:pPr>
      <w:ind w:left="420" w:leftChars="200"/>
    </w:pPr>
  </w:style>
  <w:style w:type="paragraph" w:styleId="36">
    <w:name w:val="toc 9"/>
    <w:basedOn w:val="1"/>
    <w:next w:val="1"/>
    <w:autoRedefine/>
    <w:qFormat/>
    <w:uiPriority w:val="99"/>
    <w:pPr>
      <w:ind w:left="3360" w:leftChars="1600"/>
    </w:pPr>
    <w:rPr>
      <w:rFonts w:ascii="Calibri" w:hAnsi="Calibri" w:cs="Calibri"/>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5"/>
    <w:autoRedefine/>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75"/>
    <w:autoRedefine/>
    <w:qFormat/>
    <w:uiPriority w:val="99"/>
    <w:rPr>
      <w:b/>
      <w:bCs/>
      <w:sz w:val="21"/>
      <w:szCs w:val="21"/>
    </w:rPr>
  </w:style>
  <w:style w:type="paragraph" w:styleId="40">
    <w:name w:val="Body Text First Indent"/>
    <w:basedOn w:val="17"/>
    <w:next w:val="32"/>
    <w:link w:val="168"/>
    <w:autoRedefine/>
    <w:unhideWhenUsed/>
    <w:qFormat/>
    <w:uiPriority w:val="99"/>
    <w:pPr>
      <w:ind w:firstLine="420" w:firstLineChars="100"/>
    </w:pPr>
  </w:style>
  <w:style w:type="paragraph" w:styleId="41">
    <w:name w:val="Body Text First Indent 2"/>
    <w:basedOn w:val="18"/>
    <w:next w:val="1"/>
    <w:autoRedefine/>
    <w:unhideWhenUsed/>
    <w:qFormat/>
    <w:uiPriority w:val="99"/>
    <w:pPr>
      <w:spacing w:line="360" w:lineRule="auto"/>
    </w:pPr>
    <w:rPr>
      <w:sz w:val="21"/>
      <w:szCs w:val="24"/>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99"/>
    <w:rPr>
      <w:b/>
      <w:bCs/>
    </w:rPr>
  </w:style>
  <w:style w:type="character" w:styleId="46">
    <w:name w:val="page number"/>
    <w:basedOn w:val="44"/>
    <w:autoRedefine/>
    <w:qFormat/>
    <w:uiPriority w:val="99"/>
  </w:style>
  <w:style w:type="character" w:styleId="47">
    <w:name w:val="Emphasis"/>
    <w:autoRedefine/>
    <w:qFormat/>
    <w:uiPriority w:val="99"/>
    <w:rPr>
      <w:i/>
      <w:iCs/>
    </w:rPr>
  </w:style>
  <w:style w:type="character" w:styleId="48">
    <w:name w:val="Hyperlink"/>
    <w:autoRedefine/>
    <w:qFormat/>
    <w:uiPriority w:val="99"/>
    <w:rPr>
      <w:color w:val="0000FF"/>
      <w:u w:val="single"/>
    </w:rPr>
  </w:style>
  <w:style w:type="character" w:styleId="49">
    <w:name w:val="annotation reference"/>
    <w:autoRedefine/>
    <w:qFormat/>
    <w:uiPriority w:val="99"/>
    <w:rPr>
      <w:sz w:val="21"/>
      <w:szCs w:val="21"/>
    </w:rPr>
  </w:style>
  <w:style w:type="paragraph" w:customStyle="1" w:styleId="50">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1">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2">
    <w:name w:val="Quote"/>
    <w:basedOn w:val="1"/>
    <w:next w:val="1"/>
    <w:link w:val="157"/>
    <w:autoRedefine/>
    <w:qFormat/>
    <w:uiPriority w:val="99"/>
    <w:rPr>
      <w:rFonts w:ascii="Calibri" w:hAnsi="Calibri" w:cs="Calibri"/>
      <w:i/>
      <w:iCs/>
      <w:color w:val="000000"/>
      <w:sz w:val="22"/>
      <w:szCs w:val="22"/>
    </w:rPr>
  </w:style>
  <w:style w:type="character" w:customStyle="1" w:styleId="53">
    <w:name w:val="标题 1 Char"/>
    <w:link w:val="2"/>
    <w:autoRedefine/>
    <w:qFormat/>
    <w:uiPriority w:val="99"/>
    <w:rPr>
      <w:rFonts w:ascii="Times New Roman" w:hAnsi="Times New Roman" w:eastAsia="宋体" w:cs="Times New Roman"/>
      <w:b/>
      <w:bCs/>
      <w:kern w:val="44"/>
      <w:sz w:val="44"/>
      <w:szCs w:val="44"/>
    </w:rPr>
  </w:style>
  <w:style w:type="character" w:customStyle="1" w:styleId="54">
    <w:name w:val="Heading 2 Char_fdc895c9-609d-4a10-adf7-6ec40eb8c52b"/>
    <w:autoRedefine/>
    <w:qFormat/>
    <w:uiPriority w:val="99"/>
    <w:rPr>
      <w:rFonts w:ascii="Cambria" w:hAnsi="Cambria" w:eastAsia="宋体" w:cs="Cambria"/>
      <w:b/>
      <w:bCs/>
      <w:sz w:val="32"/>
      <w:szCs w:val="32"/>
    </w:rPr>
  </w:style>
  <w:style w:type="character" w:customStyle="1" w:styleId="55">
    <w:name w:val="标题 3 Char"/>
    <w:link w:val="4"/>
    <w:autoRedefine/>
    <w:qFormat/>
    <w:uiPriority w:val="99"/>
    <w:rPr>
      <w:rFonts w:ascii="Times New Roman" w:hAnsi="Times New Roman" w:eastAsia="宋体" w:cs="Times New Roman"/>
      <w:b/>
      <w:bCs/>
      <w:sz w:val="32"/>
      <w:szCs w:val="32"/>
    </w:rPr>
  </w:style>
  <w:style w:type="character" w:customStyle="1" w:styleId="56">
    <w:name w:val="标题 4 Char"/>
    <w:link w:val="5"/>
    <w:autoRedefine/>
    <w:qFormat/>
    <w:uiPriority w:val="99"/>
    <w:rPr>
      <w:rFonts w:ascii="Arial" w:hAnsi="Arial" w:eastAsia="黑体" w:cs="Arial"/>
      <w:b/>
      <w:bCs/>
      <w:kern w:val="2"/>
      <w:sz w:val="28"/>
      <w:szCs w:val="28"/>
    </w:rPr>
  </w:style>
  <w:style w:type="character" w:customStyle="1" w:styleId="57">
    <w:name w:val="标题 5 Char"/>
    <w:link w:val="6"/>
    <w:autoRedefine/>
    <w:qFormat/>
    <w:uiPriority w:val="99"/>
    <w:rPr>
      <w:rFonts w:ascii="Times New Roman" w:hAnsi="Times New Roman" w:eastAsia="宋体" w:cs="Times New Roman"/>
      <w:b/>
      <w:bCs/>
      <w:kern w:val="2"/>
      <w:sz w:val="28"/>
      <w:szCs w:val="28"/>
    </w:rPr>
  </w:style>
  <w:style w:type="character" w:customStyle="1" w:styleId="58">
    <w:name w:val="标题 6 Char"/>
    <w:link w:val="7"/>
    <w:autoRedefine/>
    <w:qFormat/>
    <w:uiPriority w:val="99"/>
    <w:rPr>
      <w:rFonts w:ascii="Cambria" w:hAnsi="Cambria" w:eastAsia="宋体" w:cs="Cambria"/>
      <w:b/>
      <w:bCs/>
      <w:kern w:val="2"/>
      <w:sz w:val="24"/>
      <w:szCs w:val="24"/>
    </w:rPr>
  </w:style>
  <w:style w:type="character" w:customStyle="1" w:styleId="59">
    <w:name w:val="标题 7 Char"/>
    <w:link w:val="8"/>
    <w:autoRedefine/>
    <w:qFormat/>
    <w:uiPriority w:val="99"/>
    <w:rPr>
      <w:rFonts w:ascii="Calibri" w:hAnsi="Calibri" w:eastAsia="宋体" w:cs="Calibri"/>
      <w:b/>
      <w:bCs/>
      <w:kern w:val="2"/>
      <w:sz w:val="24"/>
      <w:szCs w:val="24"/>
    </w:rPr>
  </w:style>
  <w:style w:type="character" w:customStyle="1" w:styleId="60">
    <w:name w:val="标题 8 Char"/>
    <w:link w:val="9"/>
    <w:autoRedefine/>
    <w:qFormat/>
    <w:uiPriority w:val="99"/>
    <w:rPr>
      <w:rFonts w:ascii="Cambria" w:hAnsi="Cambria" w:eastAsia="宋体" w:cs="Cambria"/>
      <w:kern w:val="2"/>
      <w:sz w:val="24"/>
      <w:szCs w:val="24"/>
    </w:rPr>
  </w:style>
  <w:style w:type="character" w:customStyle="1" w:styleId="61">
    <w:name w:val="标题 9 Char"/>
    <w:link w:val="10"/>
    <w:autoRedefine/>
    <w:qFormat/>
    <w:uiPriority w:val="99"/>
    <w:rPr>
      <w:rFonts w:ascii="Cambria" w:hAnsi="Cambria" w:eastAsia="宋体" w:cs="Cambria"/>
      <w:kern w:val="2"/>
      <w:sz w:val="21"/>
      <w:szCs w:val="21"/>
    </w:rPr>
  </w:style>
  <w:style w:type="character" w:customStyle="1" w:styleId="62">
    <w:name w:val="文档结构图 Char"/>
    <w:link w:val="15"/>
    <w:autoRedefine/>
    <w:qFormat/>
    <w:uiPriority w:val="99"/>
    <w:rPr>
      <w:rFonts w:ascii="宋体" w:hAnsi="Times New Roman" w:eastAsia="宋体" w:cs="宋体"/>
      <w:sz w:val="18"/>
      <w:szCs w:val="18"/>
    </w:rPr>
  </w:style>
  <w:style w:type="character" w:customStyle="1" w:styleId="63">
    <w:name w:val="批注文字 Char1"/>
    <w:link w:val="16"/>
    <w:autoRedefine/>
    <w:qFormat/>
    <w:uiPriority w:val="99"/>
    <w:rPr>
      <w:rFonts w:ascii="Times New Roman" w:hAnsi="Times New Roman" w:eastAsia="宋体" w:cs="Times New Roman"/>
      <w:sz w:val="24"/>
      <w:szCs w:val="24"/>
    </w:rPr>
  </w:style>
  <w:style w:type="character" w:customStyle="1" w:styleId="64">
    <w:name w:val="正文文本 字符"/>
    <w:autoRedefine/>
    <w:qFormat/>
    <w:uiPriority w:val="99"/>
    <w:rPr>
      <w:rFonts w:ascii="Times New Roman" w:hAnsi="Times New Roman" w:eastAsia="宋体" w:cs="Times New Roman"/>
      <w:sz w:val="24"/>
      <w:szCs w:val="24"/>
    </w:rPr>
  </w:style>
  <w:style w:type="character" w:customStyle="1" w:styleId="65">
    <w:name w:val="正文文本缩进 字符"/>
    <w:autoRedefine/>
    <w:qFormat/>
    <w:uiPriority w:val="99"/>
    <w:rPr>
      <w:rFonts w:ascii="Times New Roman" w:hAnsi="Times New Roman" w:eastAsia="宋体" w:cs="Times New Roman"/>
      <w:sz w:val="20"/>
      <w:szCs w:val="20"/>
    </w:rPr>
  </w:style>
  <w:style w:type="character" w:customStyle="1" w:styleId="66">
    <w:name w:val="纯文本 Char1"/>
    <w:link w:val="22"/>
    <w:autoRedefine/>
    <w:qFormat/>
    <w:uiPriority w:val="99"/>
    <w:rPr>
      <w:rFonts w:ascii="宋体" w:hAnsi="Courier New" w:eastAsia="宋体" w:cs="宋体"/>
      <w:sz w:val="21"/>
      <w:szCs w:val="21"/>
    </w:rPr>
  </w:style>
  <w:style w:type="character" w:customStyle="1" w:styleId="67">
    <w:name w:val="日期 Char"/>
    <w:link w:val="24"/>
    <w:autoRedefine/>
    <w:qFormat/>
    <w:uiPriority w:val="99"/>
    <w:rPr>
      <w:rFonts w:ascii="Times New Roman" w:hAnsi="Times New Roman" w:eastAsia="宋体" w:cs="Times New Roman"/>
      <w:kern w:val="2"/>
      <w:sz w:val="21"/>
      <w:szCs w:val="21"/>
    </w:rPr>
  </w:style>
  <w:style w:type="character" w:customStyle="1" w:styleId="68">
    <w:name w:val="正文文本缩进 2 Char"/>
    <w:link w:val="25"/>
    <w:autoRedefine/>
    <w:qFormat/>
    <w:uiPriority w:val="99"/>
    <w:rPr>
      <w:rFonts w:ascii="Times New Roman" w:hAnsi="Times New Roman" w:eastAsia="宋体" w:cs="Times New Roman"/>
      <w:sz w:val="24"/>
      <w:szCs w:val="24"/>
    </w:rPr>
  </w:style>
  <w:style w:type="character" w:customStyle="1" w:styleId="69">
    <w:name w:val="批注框文本 Char"/>
    <w:link w:val="26"/>
    <w:autoRedefine/>
    <w:qFormat/>
    <w:uiPriority w:val="99"/>
    <w:rPr>
      <w:rFonts w:ascii="Times New Roman" w:hAnsi="Times New Roman" w:eastAsia="宋体" w:cs="Times New Roman"/>
      <w:sz w:val="18"/>
      <w:szCs w:val="18"/>
    </w:rPr>
  </w:style>
  <w:style w:type="character" w:customStyle="1" w:styleId="70">
    <w:name w:val="页脚 Char"/>
    <w:link w:val="27"/>
    <w:autoRedefine/>
    <w:qFormat/>
    <w:uiPriority w:val="99"/>
    <w:rPr>
      <w:sz w:val="18"/>
      <w:szCs w:val="18"/>
    </w:rPr>
  </w:style>
  <w:style w:type="character" w:customStyle="1" w:styleId="71">
    <w:name w:val="页眉 Char"/>
    <w:link w:val="28"/>
    <w:autoRedefine/>
    <w:qFormat/>
    <w:uiPriority w:val="99"/>
    <w:rPr>
      <w:sz w:val="18"/>
      <w:szCs w:val="18"/>
    </w:rPr>
  </w:style>
  <w:style w:type="character" w:customStyle="1" w:styleId="72">
    <w:name w:val="Subtitle Char"/>
    <w:autoRedefine/>
    <w:qFormat/>
    <w:uiPriority w:val="99"/>
    <w:rPr>
      <w:rFonts w:ascii="Cambria" w:hAnsi="Cambria" w:cs="Cambria"/>
      <w:b/>
      <w:bCs/>
      <w:kern w:val="28"/>
      <w:sz w:val="32"/>
      <w:szCs w:val="32"/>
    </w:rPr>
  </w:style>
  <w:style w:type="character" w:customStyle="1" w:styleId="73">
    <w:name w:val="正文文本缩进 3 Char"/>
    <w:link w:val="33"/>
    <w:autoRedefine/>
    <w:qFormat/>
    <w:uiPriority w:val="99"/>
    <w:rPr>
      <w:rFonts w:ascii="Times New Roman" w:hAnsi="Times New Roman" w:eastAsia="宋体" w:cs="Times New Roman"/>
      <w:sz w:val="16"/>
      <w:szCs w:val="16"/>
    </w:rPr>
  </w:style>
  <w:style w:type="character" w:customStyle="1" w:styleId="74">
    <w:name w:val="Title Char_9410cd4d-f580-4ab3-806d-f93b9a7bd8db"/>
    <w:autoRedefine/>
    <w:qFormat/>
    <w:uiPriority w:val="99"/>
    <w:rPr>
      <w:rFonts w:ascii="Cambria" w:hAnsi="Cambria" w:cs="Cambria"/>
      <w:b/>
      <w:bCs/>
      <w:kern w:val="2"/>
      <w:sz w:val="32"/>
      <w:szCs w:val="32"/>
    </w:rPr>
  </w:style>
  <w:style w:type="character" w:customStyle="1" w:styleId="75">
    <w:name w:val="批注主题 Char"/>
    <w:link w:val="39"/>
    <w:autoRedefine/>
    <w:qFormat/>
    <w:uiPriority w:val="99"/>
    <w:rPr>
      <w:rFonts w:ascii="Times New Roman" w:hAnsi="Times New Roman" w:eastAsia="宋体" w:cs="Times New Roman"/>
      <w:b/>
      <w:bCs/>
      <w:sz w:val="24"/>
      <w:szCs w:val="24"/>
    </w:rPr>
  </w:style>
  <w:style w:type="character" w:customStyle="1" w:styleId="76">
    <w:name w:val="标题 2 字符"/>
    <w:autoRedefine/>
    <w:qFormat/>
    <w:uiPriority w:val="99"/>
    <w:rPr>
      <w:rFonts w:ascii="Arial" w:hAnsi="Arial" w:eastAsia="黑体" w:cs="Arial"/>
      <w:b/>
      <w:bCs/>
      <w:sz w:val="32"/>
      <w:szCs w:val="32"/>
    </w:rPr>
  </w:style>
  <w:style w:type="paragraph" w:customStyle="1" w:styleId="77">
    <w:name w:val="正文首行缩进两字符"/>
    <w:basedOn w:val="1"/>
    <w:autoRedefine/>
    <w:qFormat/>
    <w:uiPriority w:val="99"/>
    <w:pPr>
      <w:spacing w:line="360" w:lineRule="auto"/>
      <w:ind w:firstLine="200" w:firstLineChars="200"/>
    </w:pPr>
  </w:style>
  <w:style w:type="paragraph" w:customStyle="1" w:styleId="78">
    <w:name w:val="正文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表格"/>
    <w:basedOn w:val="1"/>
    <w:autoRedefine/>
    <w:qFormat/>
    <w:uiPriority w:val="99"/>
    <w:pPr>
      <w:spacing w:line="400" w:lineRule="exact"/>
    </w:pPr>
    <w:rPr>
      <w:sz w:val="24"/>
      <w:szCs w:val="24"/>
    </w:rPr>
  </w:style>
  <w:style w:type="paragraph" w:customStyle="1" w:styleId="81">
    <w:name w:val="样式 首行缩进:  2 字符"/>
    <w:basedOn w:val="1"/>
    <w:autoRedefine/>
    <w:qFormat/>
    <w:uiPriority w:val="99"/>
    <w:pPr>
      <w:spacing w:line="400" w:lineRule="exact"/>
      <w:ind w:firstLine="200" w:firstLineChars="200"/>
    </w:pPr>
    <w:rPr>
      <w:sz w:val="24"/>
      <w:szCs w:val="24"/>
    </w:rPr>
  </w:style>
  <w:style w:type="character" w:customStyle="1" w:styleId="82">
    <w:name w:val="（符号）邀请函中一、"/>
    <w:autoRedefine/>
    <w:qFormat/>
    <w:uiPriority w:val="99"/>
    <w:rPr>
      <w:rFonts w:ascii="黑体" w:hAnsi="黑体" w:eastAsia="黑体" w:cs="黑体"/>
      <w:b/>
      <w:bCs/>
      <w:sz w:val="24"/>
      <w:szCs w:val="24"/>
    </w:rPr>
  </w:style>
  <w:style w:type="character" w:customStyle="1" w:styleId="83">
    <w:name w:val="正文缩进 字符"/>
    <w:autoRedefine/>
    <w:qFormat/>
    <w:uiPriority w:val="99"/>
    <w:rPr>
      <w:rFonts w:ascii="Times New Roman" w:hAnsi="Times New Roman" w:eastAsia="宋体" w:cs="Times New Roman"/>
      <w:sz w:val="24"/>
      <w:szCs w:val="24"/>
    </w:rPr>
  </w:style>
  <w:style w:type="character" w:customStyle="1" w:styleId="84">
    <w:name w:val="Char Char9"/>
    <w:autoRedefine/>
    <w:qFormat/>
    <w:uiPriority w:val="99"/>
    <w:rPr>
      <w:kern w:val="2"/>
      <w:sz w:val="21"/>
      <w:szCs w:val="21"/>
    </w:rPr>
  </w:style>
  <w:style w:type="character" w:customStyle="1" w:styleId="85">
    <w:name w:val="批注文字 Char"/>
    <w:autoRedefine/>
    <w:qFormat/>
    <w:uiPriority w:val="99"/>
    <w:rPr>
      <w:sz w:val="18"/>
      <w:szCs w:val="18"/>
    </w:rPr>
  </w:style>
  <w:style w:type="character" w:customStyle="1" w:styleId="86">
    <w:name w:val="纯文本 Char"/>
    <w:autoRedefine/>
    <w:qFormat/>
    <w:uiPriority w:val="99"/>
    <w:rPr>
      <w:rFonts w:ascii="宋体" w:hAnsi="Tms Rmn" w:eastAsia="宋体" w:cs="宋体"/>
    </w:rPr>
  </w:style>
  <w:style w:type="paragraph" w:customStyle="1" w:styleId="87">
    <w:name w:val="GW-正文"/>
    <w:basedOn w:val="1"/>
    <w:link w:val="88"/>
    <w:autoRedefine/>
    <w:qFormat/>
    <w:uiPriority w:val="99"/>
    <w:pPr>
      <w:spacing w:line="360" w:lineRule="auto"/>
      <w:ind w:firstLine="200" w:firstLineChars="200"/>
    </w:pPr>
    <w:rPr>
      <w:rFonts w:eastAsia="仿宋_GB2312"/>
      <w:kern w:val="0"/>
      <w:sz w:val="24"/>
      <w:szCs w:val="24"/>
    </w:rPr>
  </w:style>
  <w:style w:type="character" w:customStyle="1" w:styleId="88">
    <w:name w:val="GW-正文 Char"/>
    <w:link w:val="87"/>
    <w:autoRedefine/>
    <w:qFormat/>
    <w:uiPriority w:val="99"/>
    <w:rPr>
      <w:rFonts w:ascii="Times New Roman" w:hAnsi="Times New Roman" w:eastAsia="仿宋_GB2312" w:cs="Times New Roman"/>
      <w:sz w:val="24"/>
      <w:szCs w:val="24"/>
    </w:rPr>
  </w:style>
  <w:style w:type="paragraph" w:styleId="89">
    <w:name w:val="List Paragraph"/>
    <w:basedOn w:val="1"/>
    <w:link w:val="90"/>
    <w:autoRedefine/>
    <w:qFormat/>
    <w:uiPriority w:val="99"/>
    <w:pPr>
      <w:ind w:firstLine="420" w:firstLineChars="200"/>
    </w:pPr>
    <w:rPr>
      <w:kern w:val="0"/>
      <w:sz w:val="24"/>
      <w:szCs w:val="24"/>
    </w:rPr>
  </w:style>
  <w:style w:type="character" w:customStyle="1" w:styleId="90">
    <w:name w:val="列出段落 Char"/>
    <w:link w:val="89"/>
    <w:autoRedefine/>
    <w:qFormat/>
    <w:uiPriority w:val="99"/>
    <w:rPr>
      <w:rFonts w:ascii="Times New Roman" w:hAnsi="Times New Roman" w:eastAsia="宋体" w:cs="Times New Roman"/>
      <w:sz w:val="24"/>
      <w:szCs w:val="24"/>
    </w:rPr>
  </w:style>
  <w:style w:type="paragraph" w:customStyle="1" w:styleId="91">
    <w:name w:val="Char Char Char Char Char Char Char Char Char Char Char Char Char Char1 Char Char Char Char"/>
    <w:basedOn w:val="1"/>
    <w:autoRedefine/>
    <w:qFormat/>
    <w:uiPriority w:val="99"/>
  </w:style>
  <w:style w:type="paragraph" w:customStyle="1" w:styleId="92">
    <w:name w:val="修订1"/>
    <w:autoRedefine/>
    <w:qFormat/>
    <w:uiPriority w:val="99"/>
    <w:rPr>
      <w:rFonts w:ascii="Times New Roman" w:hAnsi="Times New Roman" w:eastAsia="宋体" w:cs="Times New Roman"/>
      <w:kern w:val="2"/>
      <w:sz w:val="21"/>
      <w:szCs w:val="21"/>
      <w:lang w:val="en-US" w:eastAsia="zh-CN" w:bidi="ar-SA"/>
    </w:rPr>
  </w:style>
  <w:style w:type="character" w:customStyle="1" w:styleId="93">
    <w:name w:val="font31"/>
    <w:autoRedefine/>
    <w:qFormat/>
    <w:uiPriority w:val="99"/>
    <w:rPr>
      <w:rFonts w:ascii="宋体" w:hAnsi="宋体" w:eastAsia="宋体" w:cs="宋体"/>
      <w:color w:val="000000"/>
      <w:sz w:val="21"/>
      <w:szCs w:val="21"/>
      <w:u w:val="none"/>
    </w:rPr>
  </w:style>
  <w:style w:type="character" w:customStyle="1" w:styleId="94">
    <w:name w:val="正文缩进 Char1"/>
    <w:autoRedefine/>
    <w:qFormat/>
    <w:uiPriority w:val="99"/>
    <w:rPr>
      <w:rFonts w:eastAsia="宋体"/>
      <w:kern w:val="2"/>
      <w:sz w:val="24"/>
      <w:szCs w:val="24"/>
      <w:lang w:val="en-US" w:eastAsia="zh-CN"/>
    </w:rPr>
  </w:style>
  <w:style w:type="paragraph" w:customStyle="1" w:styleId="95">
    <w:name w:val="Plain Text1"/>
    <w:basedOn w:val="1"/>
    <w:autoRedefine/>
    <w:qFormat/>
    <w:uiPriority w:val="99"/>
    <w:pPr>
      <w:adjustRightInd w:val="0"/>
      <w:jc w:val="left"/>
      <w:textAlignment w:val="baseline"/>
    </w:pPr>
    <w:rPr>
      <w:rFonts w:ascii="宋体" w:hAnsi="Courier New" w:cs="宋体"/>
      <w:sz w:val="24"/>
      <w:szCs w:val="24"/>
    </w:rPr>
  </w:style>
  <w:style w:type="character" w:customStyle="1" w:styleId="96">
    <w:name w:val="Char Char3"/>
    <w:autoRedefine/>
    <w:qFormat/>
    <w:uiPriority w:val="99"/>
    <w:rPr>
      <w:rFonts w:ascii="Arial" w:hAnsi="Arial" w:eastAsia="黑体" w:cs="Arial"/>
      <w:b/>
      <w:bCs/>
      <w:kern w:val="2"/>
      <w:sz w:val="32"/>
      <w:szCs w:val="32"/>
      <w:lang w:val="en-US" w:eastAsia="zh-CN"/>
    </w:rPr>
  </w:style>
  <w:style w:type="character" w:customStyle="1" w:styleId="97">
    <w:name w:val="Char Char Char"/>
    <w:link w:val="98"/>
    <w:autoRedefine/>
    <w:qFormat/>
    <w:uiPriority w:val="99"/>
    <w:rPr>
      <w:rFonts w:ascii="Arial" w:hAnsi="Arial" w:eastAsia="黑体" w:cs="Arial"/>
      <w:b/>
      <w:bCs/>
      <w:kern w:val="2"/>
      <w:sz w:val="32"/>
      <w:szCs w:val="32"/>
    </w:rPr>
  </w:style>
  <w:style w:type="paragraph" w:customStyle="1" w:styleId="98">
    <w:name w:val="Char"/>
    <w:basedOn w:val="1"/>
    <w:link w:val="97"/>
    <w:autoRedefine/>
    <w:qFormat/>
    <w:uiPriority w:val="99"/>
    <w:rPr>
      <w:rFonts w:ascii="Arial" w:hAnsi="Arial" w:eastAsia="黑体" w:cs="Arial"/>
      <w:b/>
      <w:bCs/>
      <w:sz w:val="32"/>
      <w:szCs w:val="32"/>
    </w:rPr>
  </w:style>
  <w:style w:type="character" w:customStyle="1" w:styleId="99">
    <w:name w:val="无间距字符"/>
    <w:link w:val="100"/>
    <w:autoRedefine/>
    <w:qFormat/>
    <w:uiPriority w:val="99"/>
    <w:rPr>
      <w:rFonts w:ascii="Calibri" w:hAnsi="Calibri" w:cs="Calibri"/>
      <w:sz w:val="22"/>
      <w:szCs w:val="22"/>
      <w:lang w:val="en-US" w:eastAsia="zh-CN"/>
    </w:rPr>
  </w:style>
  <w:style w:type="paragraph" w:customStyle="1" w:styleId="100">
    <w:name w:val="无间距"/>
    <w:link w:val="99"/>
    <w:autoRedefine/>
    <w:qFormat/>
    <w:uiPriority w:val="99"/>
    <w:rPr>
      <w:rFonts w:ascii="Calibri" w:hAnsi="Calibri" w:eastAsia="宋体" w:cs="Calibri"/>
      <w:sz w:val="22"/>
      <w:szCs w:val="22"/>
      <w:lang w:val="en-US" w:eastAsia="zh-CN" w:bidi="ar-SA"/>
    </w:rPr>
  </w:style>
  <w:style w:type="character" w:customStyle="1" w:styleId="101">
    <w:name w:val="tdrownotice1"/>
    <w:autoRedefine/>
    <w:qFormat/>
    <w:uiPriority w:val="99"/>
    <w:rPr>
      <w:sz w:val="22"/>
      <w:szCs w:val="22"/>
    </w:rPr>
  </w:style>
  <w:style w:type="character" w:customStyle="1" w:styleId="102">
    <w:name w:val="页眉 Char1"/>
    <w:autoRedefine/>
    <w:qFormat/>
    <w:uiPriority w:val="99"/>
    <w:rPr>
      <w:kern w:val="2"/>
      <w:sz w:val="18"/>
      <w:szCs w:val="18"/>
    </w:rPr>
  </w:style>
  <w:style w:type="character" w:customStyle="1" w:styleId="103">
    <w:name w:val="正文文本缩进 Char1"/>
    <w:autoRedefine/>
    <w:qFormat/>
    <w:uiPriority w:val="99"/>
    <w:rPr>
      <w:kern w:val="2"/>
      <w:sz w:val="21"/>
      <w:szCs w:val="21"/>
    </w:rPr>
  </w:style>
  <w:style w:type="character" w:customStyle="1" w:styleId="104">
    <w:name w:val="批注主题 Char1"/>
    <w:autoRedefine/>
    <w:qFormat/>
    <w:uiPriority w:val="99"/>
    <w:rPr>
      <w:rFonts w:ascii="Times New Roman" w:hAnsi="Times New Roman" w:eastAsia="宋体" w:cs="Times New Roman"/>
      <w:b/>
      <w:bCs/>
      <w:kern w:val="2"/>
      <w:sz w:val="24"/>
      <w:szCs w:val="24"/>
    </w:rPr>
  </w:style>
  <w:style w:type="character" w:customStyle="1" w:styleId="105">
    <w:name w:val="标题 Char"/>
    <w:link w:val="38"/>
    <w:autoRedefine/>
    <w:qFormat/>
    <w:uiPriority w:val="99"/>
    <w:rPr>
      <w:rFonts w:ascii="Cambria" w:hAnsi="Cambria" w:cs="Cambria"/>
      <w:b/>
      <w:bCs/>
      <w:sz w:val="32"/>
      <w:szCs w:val="32"/>
    </w:rPr>
  </w:style>
  <w:style w:type="character" w:customStyle="1" w:styleId="106">
    <w:name w:val="标题 Char1"/>
    <w:autoRedefine/>
    <w:qFormat/>
    <w:uiPriority w:val="99"/>
    <w:rPr>
      <w:rFonts w:ascii="Cambria" w:hAnsi="Cambria" w:eastAsia="宋体" w:cs="Cambria"/>
      <w:b/>
      <w:bCs/>
      <w:kern w:val="2"/>
      <w:sz w:val="32"/>
      <w:szCs w:val="32"/>
    </w:rPr>
  </w:style>
  <w:style w:type="character" w:customStyle="1" w:styleId="107">
    <w:name w:val="页脚 Char1"/>
    <w:autoRedefine/>
    <w:qFormat/>
    <w:uiPriority w:val="99"/>
    <w:rPr>
      <w:kern w:val="2"/>
      <w:sz w:val="18"/>
      <w:szCs w:val="18"/>
    </w:rPr>
  </w:style>
  <w:style w:type="paragraph" w:customStyle="1" w:styleId="108">
    <w:name w:val="Char1"/>
    <w:basedOn w:val="1"/>
    <w:autoRedefine/>
    <w:qFormat/>
    <w:uiPriority w:val="99"/>
  </w:style>
  <w:style w:type="paragraph" w:customStyle="1" w:styleId="10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Times New Roman"/>
      <w:b w:val="0"/>
      <w:bCs w:val="0"/>
      <w:sz w:val="28"/>
      <w:szCs w:val="28"/>
    </w:rPr>
  </w:style>
  <w:style w:type="paragraph" w:customStyle="1" w:styleId="110">
    <w:name w:val="样式 首行缩进:  2 字符1"/>
    <w:basedOn w:val="1"/>
    <w:autoRedefine/>
    <w:qFormat/>
    <w:uiPriority w:val="99"/>
    <w:pPr>
      <w:spacing w:line="400" w:lineRule="exact"/>
      <w:ind w:firstLine="200" w:firstLineChars="200"/>
    </w:pPr>
    <w:rPr>
      <w:sz w:val="24"/>
      <w:szCs w:val="24"/>
    </w:rPr>
  </w:style>
  <w:style w:type="paragraph" w:customStyle="1" w:styleId="111">
    <w:name w:val="Char2"/>
    <w:basedOn w:val="1"/>
    <w:autoRedefine/>
    <w:qFormat/>
    <w:uiPriority w:val="99"/>
  </w:style>
  <w:style w:type="paragraph" w:customStyle="1" w:styleId="112">
    <w:name w:val="Char Char Char Char Char Char Char"/>
    <w:basedOn w:val="1"/>
    <w:autoRedefine/>
    <w:qFormat/>
    <w:uiPriority w:val="99"/>
  </w:style>
  <w:style w:type="paragraph" w:customStyle="1" w:styleId="113">
    <w:name w:val="bf.1"/>
    <w:basedOn w:val="12"/>
    <w:autoRedefine/>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4">
    <w:name w:val="第一章"/>
    <w:basedOn w:val="1"/>
    <w:next w:val="1"/>
    <w:autoRedefine/>
    <w:qFormat/>
    <w:uiPriority w:val="99"/>
    <w:pPr>
      <w:tabs>
        <w:tab w:val="left" w:pos="0"/>
      </w:tabs>
      <w:spacing w:line="360" w:lineRule="auto"/>
      <w:ind w:hanging="500" w:hangingChars="500"/>
    </w:pPr>
    <w:rPr>
      <w:rFonts w:eastAsia="黑体"/>
      <w:sz w:val="44"/>
      <w:szCs w:val="44"/>
    </w:rPr>
  </w:style>
  <w:style w:type="paragraph" w:customStyle="1" w:styleId="115">
    <w:name w:val="blockquote"/>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116">
    <w:name w:val="样式1"/>
    <w:basedOn w:val="2"/>
    <w:autoRedefine/>
    <w:qFormat/>
    <w:uiPriority w:val="99"/>
    <w:pPr>
      <w:spacing w:line="576" w:lineRule="auto"/>
    </w:pPr>
  </w:style>
  <w:style w:type="paragraph" w:customStyle="1" w:styleId="117">
    <w:name w:val="Char Char1 Char"/>
    <w:basedOn w:val="1"/>
    <w:autoRedefine/>
    <w:qFormat/>
    <w:uiPriority w:val="99"/>
  </w:style>
  <w:style w:type="paragraph" w:customStyle="1" w:styleId="118">
    <w:name w:val="Char Char Char Char"/>
    <w:basedOn w:val="1"/>
    <w:autoRedefine/>
    <w:qFormat/>
    <w:uiPriority w:val="99"/>
  </w:style>
  <w:style w:type="paragraph" w:customStyle="1" w:styleId="119">
    <w:name w:val="样式3"/>
    <w:basedOn w:val="2"/>
    <w:autoRedefine/>
    <w:qFormat/>
    <w:uiPriority w:val="99"/>
    <w:pPr>
      <w:spacing w:line="576" w:lineRule="auto"/>
    </w:pPr>
  </w:style>
  <w:style w:type="paragraph" w:customStyle="1" w:styleId="120">
    <w:name w:val="p0"/>
    <w:basedOn w:val="1"/>
    <w:autoRedefine/>
    <w:qFormat/>
    <w:uiPriority w:val="99"/>
    <w:pPr>
      <w:widowControl/>
    </w:pPr>
    <w:rPr>
      <w:kern w:val="0"/>
    </w:rPr>
  </w:style>
  <w:style w:type="paragraph" w:customStyle="1" w:styleId="121">
    <w:name w:val="Char Char Char Char Char Char Char Char Char Char Char Char Char"/>
    <w:basedOn w:val="1"/>
    <w:autoRedefine/>
    <w:qFormat/>
    <w:uiPriority w:val="99"/>
    <w:pPr>
      <w:widowControl/>
      <w:spacing w:after="160" w:line="240" w:lineRule="exact"/>
      <w:jc w:val="left"/>
    </w:pPr>
  </w:style>
  <w:style w:type="paragraph" w:customStyle="1" w:styleId="122">
    <w:name w:val="样式2"/>
    <w:basedOn w:val="1"/>
    <w:autoRedefine/>
    <w:qFormat/>
    <w:uiPriority w:val="99"/>
    <w:pPr>
      <w:ind w:firstLine="420" w:firstLineChars="150"/>
    </w:pPr>
    <w:rPr>
      <w:sz w:val="24"/>
      <w:szCs w:val="24"/>
      <w:lang w:val="en-GB"/>
    </w:rPr>
  </w:style>
  <w:style w:type="paragraph" w:customStyle="1" w:styleId="123">
    <w:name w:val="Blockquote"/>
    <w:basedOn w:val="1"/>
    <w:autoRedefine/>
    <w:qFormat/>
    <w:uiPriority w:val="99"/>
    <w:pPr>
      <w:autoSpaceDE w:val="0"/>
      <w:autoSpaceDN w:val="0"/>
      <w:adjustRightInd w:val="0"/>
      <w:spacing w:before="100" w:after="100"/>
      <w:ind w:left="360"/>
    </w:pPr>
    <w:rPr>
      <w:kern w:val="0"/>
      <w:sz w:val="24"/>
      <w:szCs w:val="24"/>
    </w:rPr>
  </w:style>
  <w:style w:type="paragraph" w:customStyle="1" w:styleId="124">
    <w:name w:val="Char1 Char Char Char"/>
    <w:basedOn w:val="1"/>
    <w:autoRedefine/>
    <w:qFormat/>
    <w:uiPriority w:val="99"/>
  </w:style>
  <w:style w:type="character" w:customStyle="1" w:styleId="125">
    <w:name w:val="正文文本 Char1"/>
    <w:autoRedefine/>
    <w:qFormat/>
    <w:uiPriority w:val="99"/>
    <w:rPr>
      <w:kern w:val="2"/>
      <w:sz w:val="22"/>
      <w:szCs w:val="22"/>
    </w:rPr>
  </w:style>
  <w:style w:type="character" w:customStyle="1" w:styleId="126">
    <w:name w:val="Intense Quote Char_2b2a3896-3195-4671-a05a-2e0ebb027a8c"/>
    <w:autoRedefine/>
    <w:qFormat/>
    <w:uiPriority w:val="99"/>
    <w:rPr>
      <w:b/>
      <w:bCs/>
      <w:i/>
      <w:iCs/>
      <w:color w:val="4F81BD"/>
      <w:kern w:val="2"/>
      <w:sz w:val="22"/>
      <w:szCs w:val="22"/>
    </w:rPr>
  </w:style>
  <w:style w:type="character" w:customStyle="1" w:styleId="127">
    <w:name w:val="Subtle Emphasis1"/>
    <w:autoRedefine/>
    <w:qFormat/>
    <w:uiPriority w:val="99"/>
    <w:rPr>
      <w:i/>
      <w:iCs/>
      <w:color w:val="808080"/>
    </w:rPr>
  </w:style>
  <w:style w:type="character" w:customStyle="1" w:styleId="128">
    <w:name w:val="标题4 Char Char"/>
    <w:link w:val="129"/>
    <w:autoRedefine/>
    <w:qFormat/>
    <w:uiPriority w:val="99"/>
    <w:rPr>
      <w:rFonts w:ascii="Arial" w:hAnsi="Arial" w:cs="Arial"/>
      <w:b/>
      <w:bCs/>
      <w:sz w:val="32"/>
      <w:szCs w:val="32"/>
    </w:rPr>
  </w:style>
  <w:style w:type="paragraph" w:customStyle="1" w:styleId="129">
    <w:name w:val="标题4"/>
    <w:basedOn w:val="3"/>
    <w:next w:val="19"/>
    <w:link w:val="128"/>
    <w:autoRedefine/>
    <w:qFormat/>
    <w:uiPriority w:val="99"/>
    <w:pPr>
      <w:spacing w:line="413" w:lineRule="auto"/>
    </w:pPr>
    <w:rPr>
      <w:rFonts w:eastAsia="宋体"/>
      <w:kern w:val="0"/>
    </w:rPr>
  </w:style>
  <w:style w:type="character" w:customStyle="1" w:styleId="130">
    <w:name w:val="标题5 Char Char"/>
    <w:link w:val="131"/>
    <w:autoRedefine/>
    <w:qFormat/>
    <w:uiPriority w:val="99"/>
    <w:rPr>
      <w:rFonts w:ascii="Arial" w:hAnsi="Arial" w:cs="Arial"/>
      <w:b/>
      <w:bCs/>
      <w:sz w:val="32"/>
      <w:szCs w:val="32"/>
    </w:rPr>
  </w:style>
  <w:style w:type="paragraph" w:customStyle="1" w:styleId="131">
    <w:name w:val="标题5"/>
    <w:basedOn w:val="4"/>
    <w:link w:val="130"/>
    <w:autoRedefine/>
    <w:qFormat/>
    <w:uiPriority w:val="99"/>
    <w:pPr>
      <w:spacing w:line="413" w:lineRule="auto"/>
    </w:pPr>
    <w:rPr>
      <w:rFonts w:ascii="Arial" w:hAnsi="Arial" w:cs="Arial"/>
      <w:kern w:val="0"/>
    </w:rPr>
  </w:style>
  <w:style w:type="character" w:customStyle="1" w:styleId="132">
    <w:name w:val="Intense Reference1"/>
    <w:autoRedefine/>
    <w:qFormat/>
    <w:uiPriority w:val="99"/>
    <w:rPr>
      <w:b/>
      <w:bCs/>
      <w:smallCaps/>
      <w:color w:val="auto"/>
      <w:spacing w:val="5"/>
      <w:u w:val="single"/>
    </w:rPr>
  </w:style>
  <w:style w:type="character" w:customStyle="1" w:styleId="133">
    <w:name w:val="Book Title1"/>
    <w:autoRedefine/>
    <w:qFormat/>
    <w:uiPriority w:val="99"/>
    <w:rPr>
      <w:b/>
      <w:bCs/>
      <w:smallCaps/>
      <w:spacing w:val="5"/>
    </w:rPr>
  </w:style>
  <w:style w:type="character" w:customStyle="1" w:styleId="134">
    <w:name w:val="批注框文本 Char1"/>
    <w:autoRedefine/>
    <w:qFormat/>
    <w:uiPriority w:val="99"/>
    <w:rPr>
      <w:kern w:val="2"/>
      <w:sz w:val="18"/>
      <w:szCs w:val="18"/>
    </w:rPr>
  </w:style>
  <w:style w:type="character" w:customStyle="1" w:styleId="135">
    <w:name w:val="Quote Char_b08aa03b-3c55-4147-93c5-66cbc0710261"/>
    <w:autoRedefine/>
    <w:qFormat/>
    <w:uiPriority w:val="99"/>
    <w:rPr>
      <w:i/>
      <w:iCs/>
      <w:color w:val="000000"/>
      <w:kern w:val="2"/>
      <w:sz w:val="22"/>
      <w:szCs w:val="22"/>
    </w:rPr>
  </w:style>
  <w:style w:type="character" w:customStyle="1" w:styleId="136">
    <w:name w:val="日期 Char1"/>
    <w:autoRedefine/>
    <w:qFormat/>
    <w:uiPriority w:val="99"/>
    <w:rPr>
      <w:kern w:val="2"/>
      <w:sz w:val="22"/>
      <w:szCs w:val="22"/>
    </w:rPr>
  </w:style>
  <w:style w:type="character" w:customStyle="1" w:styleId="137">
    <w:name w:val="Intense Emphasis1"/>
    <w:autoRedefine/>
    <w:qFormat/>
    <w:uiPriority w:val="99"/>
    <w:rPr>
      <w:b/>
      <w:bCs/>
      <w:i/>
      <w:iCs/>
      <w:color w:val="4F81BD"/>
    </w:rPr>
  </w:style>
  <w:style w:type="character" w:customStyle="1" w:styleId="138">
    <w:name w:val="textcontents"/>
    <w:autoRedefine/>
    <w:qFormat/>
    <w:uiPriority w:val="99"/>
  </w:style>
  <w:style w:type="character" w:customStyle="1" w:styleId="139">
    <w:name w:val="Subtle Reference1"/>
    <w:qFormat/>
    <w:uiPriority w:val="99"/>
    <w:rPr>
      <w:smallCaps/>
      <w:color w:val="auto"/>
      <w:u w:val="single"/>
    </w:rPr>
  </w:style>
  <w:style w:type="character" w:customStyle="1" w:styleId="140">
    <w:name w:val="批注文字 Char Char"/>
    <w:autoRedefine/>
    <w:qFormat/>
    <w:uiPriority w:val="99"/>
    <w:rPr>
      <w:rFonts w:ascii="宋体" w:hAnsi="Times New Roman" w:eastAsia="宋体" w:cs="宋体"/>
      <w:sz w:val="20"/>
      <w:szCs w:val="20"/>
    </w:rPr>
  </w:style>
  <w:style w:type="character" w:customStyle="1" w:styleId="141">
    <w:name w:val="文档结构图 Char1"/>
    <w:autoRedefine/>
    <w:qFormat/>
    <w:uiPriority w:val="99"/>
    <w:rPr>
      <w:rFonts w:ascii="宋体" w:cs="宋体"/>
      <w:kern w:val="2"/>
      <w:sz w:val="18"/>
      <w:szCs w:val="18"/>
    </w:rPr>
  </w:style>
  <w:style w:type="paragraph" w:customStyle="1" w:styleId="142">
    <w:name w:val="Revision1"/>
    <w:autoRedefine/>
    <w:qFormat/>
    <w:uiPriority w:val="99"/>
    <w:rPr>
      <w:rFonts w:ascii="Times New Roman" w:hAnsi="Times New Roman" w:eastAsia="宋体" w:cs="Times New Roman"/>
      <w:kern w:val="2"/>
      <w:sz w:val="21"/>
      <w:szCs w:val="21"/>
      <w:lang w:val="en-US" w:eastAsia="zh-CN" w:bidi="ar-SA"/>
    </w:rPr>
  </w:style>
  <w:style w:type="character" w:customStyle="1" w:styleId="143">
    <w:name w:val="批注框文本 Char2"/>
    <w:autoRedefine/>
    <w:qFormat/>
    <w:uiPriority w:val="99"/>
    <w:rPr>
      <w:kern w:val="2"/>
      <w:sz w:val="18"/>
      <w:szCs w:val="18"/>
    </w:rPr>
  </w:style>
  <w:style w:type="character" w:customStyle="1" w:styleId="144">
    <w:name w:val="批注主题 Char2"/>
    <w:autoRedefine/>
    <w:qFormat/>
    <w:uiPriority w:val="99"/>
    <w:rPr>
      <w:b/>
      <w:bCs/>
      <w:kern w:val="2"/>
      <w:sz w:val="22"/>
      <w:szCs w:val="22"/>
    </w:rPr>
  </w:style>
  <w:style w:type="character" w:customStyle="1" w:styleId="145">
    <w:name w:val="文档结构图 Char2"/>
    <w:qFormat/>
    <w:uiPriority w:val="99"/>
    <w:rPr>
      <w:rFonts w:ascii="宋体" w:cs="宋体"/>
      <w:kern w:val="2"/>
      <w:sz w:val="18"/>
      <w:szCs w:val="18"/>
    </w:rPr>
  </w:style>
  <w:style w:type="character" w:customStyle="1" w:styleId="146">
    <w:name w:val="日期 Char2"/>
    <w:autoRedefine/>
    <w:qFormat/>
    <w:uiPriority w:val="99"/>
    <w:rPr>
      <w:kern w:val="2"/>
      <w:sz w:val="22"/>
      <w:szCs w:val="22"/>
    </w:rPr>
  </w:style>
  <w:style w:type="character" w:customStyle="1" w:styleId="147">
    <w:name w:val="正文文本 Char2"/>
    <w:autoRedefine/>
    <w:qFormat/>
    <w:uiPriority w:val="99"/>
    <w:rPr>
      <w:kern w:val="2"/>
      <w:sz w:val="21"/>
      <w:szCs w:val="21"/>
    </w:rPr>
  </w:style>
  <w:style w:type="paragraph" w:customStyle="1" w:styleId="148">
    <w:name w:val="TOC Heading1"/>
    <w:basedOn w:val="2"/>
    <w:next w:val="1"/>
    <w:autoRedefine/>
    <w:qFormat/>
    <w:uiPriority w:val="99"/>
    <w:pPr>
      <w:spacing w:line="576" w:lineRule="auto"/>
      <w:outlineLvl w:val="9"/>
    </w:pPr>
    <w:rPr>
      <w:rFonts w:ascii="Calibri" w:hAnsi="Calibri" w:cs="Calibri"/>
    </w:rPr>
  </w:style>
  <w:style w:type="character" w:customStyle="1" w:styleId="149">
    <w:name w:val="副标题 Char"/>
    <w:link w:val="31"/>
    <w:autoRedefine/>
    <w:qFormat/>
    <w:uiPriority w:val="99"/>
    <w:rPr>
      <w:rFonts w:ascii="Cambria" w:hAnsi="Cambria" w:cs="Cambria"/>
      <w:b/>
      <w:bCs/>
      <w:kern w:val="28"/>
      <w:sz w:val="32"/>
      <w:szCs w:val="32"/>
    </w:rPr>
  </w:style>
  <w:style w:type="character" w:customStyle="1" w:styleId="150">
    <w:name w:val="副标题 Char1"/>
    <w:autoRedefine/>
    <w:qFormat/>
    <w:uiPriority w:val="99"/>
    <w:rPr>
      <w:rFonts w:ascii="Cambria" w:hAnsi="Cambria" w:eastAsia="宋体" w:cs="Cambria"/>
      <w:b/>
      <w:bCs/>
      <w:kern w:val="28"/>
      <w:sz w:val="32"/>
      <w:szCs w:val="32"/>
    </w:rPr>
  </w:style>
  <w:style w:type="paragraph" w:styleId="151">
    <w:name w:val="Intense Quote"/>
    <w:basedOn w:val="1"/>
    <w:next w:val="1"/>
    <w:link w:val="152"/>
    <w:autoRedefine/>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2">
    <w:name w:val="明显引用 Char"/>
    <w:link w:val="151"/>
    <w:autoRedefine/>
    <w:qFormat/>
    <w:uiPriority w:val="99"/>
    <w:rPr>
      <w:rFonts w:ascii="Times New Roman" w:hAnsi="Times New Roman" w:cs="Times New Roman"/>
      <w:b/>
      <w:bCs/>
      <w:i/>
      <w:iCs/>
      <w:color w:val="4F81BD"/>
      <w:sz w:val="21"/>
      <w:szCs w:val="21"/>
    </w:rPr>
  </w:style>
  <w:style w:type="character" w:customStyle="1" w:styleId="153">
    <w:name w:val="明显引用 Char1"/>
    <w:autoRedefine/>
    <w:qFormat/>
    <w:uiPriority w:val="99"/>
    <w:rPr>
      <w:rFonts w:ascii="Times New Roman" w:hAnsi="Times New Roman" w:eastAsia="宋体" w:cs="Times New Roman"/>
      <w:b/>
      <w:bCs/>
      <w:i/>
      <w:iCs/>
      <w:color w:val="4F81BD"/>
      <w:kern w:val="2"/>
      <w:sz w:val="24"/>
      <w:szCs w:val="24"/>
    </w:rPr>
  </w:style>
  <w:style w:type="paragraph" w:customStyle="1" w:styleId="154">
    <w:name w:val="样式 标题 3 + (中文) 黑体 小四 非加粗 段前: 7.8 磅 段后: 0 磅 行距: 固定值 20 磅"/>
    <w:basedOn w:val="4"/>
    <w:autoRedefine/>
    <w:qFormat/>
    <w:uiPriority w:val="99"/>
    <w:pPr>
      <w:spacing w:before="0" w:after="0" w:line="400" w:lineRule="exact"/>
    </w:pPr>
    <w:rPr>
      <w:rFonts w:eastAsia="黑体"/>
      <w:b w:val="0"/>
      <w:bCs w:val="0"/>
      <w:sz w:val="24"/>
      <w:szCs w:val="24"/>
    </w:rPr>
  </w:style>
  <w:style w:type="paragraph" w:customStyle="1" w:styleId="155">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styleId="156">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57">
    <w:name w:val="引用 Char"/>
    <w:link w:val="52"/>
    <w:autoRedefine/>
    <w:qFormat/>
    <w:uiPriority w:val="99"/>
    <w:rPr>
      <w:rFonts w:ascii="Times New Roman" w:hAnsi="Times New Roman" w:cs="Times New Roman"/>
      <w:i/>
      <w:iCs/>
      <w:color w:val="000000"/>
      <w:sz w:val="21"/>
      <w:szCs w:val="21"/>
    </w:rPr>
  </w:style>
  <w:style w:type="character" w:customStyle="1" w:styleId="158">
    <w:name w:val="引用 Char1"/>
    <w:qFormat/>
    <w:uiPriority w:val="99"/>
    <w:rPr>
      <w:rFonts w:ascii="Times New Roman" w:hAnsi="Times New Roman" w:eastAsia="宋体" w:cs="Times New Roman"/>
      <w:i/>
      <w:iCs/>
      <w:color w:val="000000"/>
      <w:kern w:val="2"/>
      <w:sz w:val="24"/>
      <w:szCs w:val="24"/>
    </w:rPr>
  </w:style>
  <w:style w:type="paragraph" w:customStyle="1" w:styleId="15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CD正文"/>
    <w:basedOn w:val="1"/>
    <w:autoRedefine/>
    <w:qFormat/>
    <w:uiPriority w:val="99"/>
    <w:pPr>
      <w:spacing w:line="360" w:lineRule="auto"/>
      <w:ind w:firstLine="493"/>
    </w:pPr>
    <w:rPr>
      <w:sz w:val="30"/>
      <w:szCs w:val="30"/>
    </w:rPr>
  </w:style>
  <w:style w:type="paragraph" w:customStyle="1" w:styleId="161">
    <w:name w:val="1公招正文"/>
    <w:basedOn w:val="1"/>
    <w:autoRedefine/>
    <w:qFormat/>
    <w:uiPriority w:val="0"/>
    <w:pPr>
      <w:spacing w:line="360" w:lineRule="auto"/>
      <w:ind w:firstLine="1044" w:firstLineChars="200"/>
      <w:jc w:val="left"/>
    </w:pPr>
    <w:rPr>
      <w:rFonts w:ascii="宋体" w:hAnsi="宋体"/>
      <w:sz w:val="24"/>
    </w:rPr>
  </w:style>
  <w:style w:type="paragraph" w:customStyle="1" w:styleId="16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Default"/>
    <w:autoRedefine/>
    <w:qFormat/>
    <w:uiPriority w:val="0"/>
    <w:pPr>
      <w:widowControl w:val="0"/>
    </w:pPr>
    <w:rPr>
      <w:rFonts w:ascii="......." w:hAnsi="......." w:eastAsia="宋体" w:cs="宋体"/>
      <w:color w:val="000000"/>
      <w:sz w:val="24"/>
      <w:szCs w:val="24"/>
      <w:lang w:val="en-US" w:eastAsia="zh-CN" w:bidi="ar-SA"/>
    </w:rPr>
  </w:style>
  <w:style w:type="paragraph" w:customStyle="1" w:styleId="16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列出段落1"/>
    <w:basedOn w:val="1"/>
    <w:autoRedefine/>
    <w:qFormat/>
    <w:uiPriority w:val="0"/>
    <w:pPr>
      <w:ind w:firstLine="420" w:firstLineChars="200"/>
    </w:pPr>
  </w:style>
  <w:style w:type="paragraph" w:customStyle="1" w:styleId="16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7">
    <w:name w:val="正文文本 Char"/>
    <w:basedOn w:val="44"/>
    <w:link w:val="17"/>
    <w:autoRedefine/>
    <w:qFormat/>
    <w:uiPriority w:val="0"/>
    <w:rPr>
      <w:rFonts w:hint="eastAsia" w:ascii="宋体" w:hAnsi="宋体" w:eastAsia="宋体" w:cs="宋体"/>
      <w:sz w:val="34"/>
    </w:rPr>
  </w:style>
  <w:style w:type="character" w:customStyle="1" w:styleId="168">
    <w:name w:val="正文首行缩进 Char"/>
    <w:link w:val="40"/>
    <w:qFormat/>
    <w:uiPriority w:val="0"/>
    <w:rPr>
      <w:kern w:val="2"/>
      <w:sz w:val="21"/>
      <w:szCs w:val="24"/>
    </w:rPr>
  </w:style>
  <w:style w:type="character" w:customStyle="1" w:styleId="169">
    <w:name w:val="正文缩进 Char"/>
    <w:basedOn w:val="44"/>
    <w:link w:val="12"/>
    <w:autoRedefine/>
    <w:qFormat/>
    <w:uiPriority w:val="0"/>
    <w:rPr>
      <w:kern w:val="2"/>
      <w:sz w:val="21"/>
      <w:szCs w:val="24"/>
    </w:rPr>
  </w:style>
  <w:style w:type="character" w:customStyle="1" w:styleId="170">
    <w:name w:val="正文文本缩进 Char"/>
    <w:basedOn w:val="44"/>
    <w:link w:val="18"/>
    <w:autoRedefine/>
    <w:qFormat/>
    <w:uiPriority w:val="0"/>
    <w:rPr>
      <w:kern w:val="2"/>
      <w:sz w:val="32"/>
    </w:rPr>
  </w:style>
  <w:style w:type="character" w:customStyle="1" w:styleId="171">
    <w:name w:val="标题 2 Char"/>
    <w:basedOn w:val="44"/>
    <w:link w:val="3"/>
    <w:autoRedefine/>
    <w:qFormat/>
    <w:uiPriority w:val="0"/>
    <w:rPr>
      <w:rFonts w:hint="default" w:ascii="Arial" w:hAnsi="Arial" w:eastAsia="黑体" w:cs="Arial"/>
      <w:b/>
      <w:bCs/>
      <w:kern w:val="2"/>
      <w:sz w:val="32"/>
      <w:szCs w:val="32"/>
    </w:rPr>
  </w:style>
  <w:style w:type="paragraph" w:customStyle="1" w:styleId="172">
    <w:name w:val="null3"/>
    <w:autoRedefine/>
    <w:hidden/>
    <w:qFormat/>
    <w:uiPriority w:val="0"/>
    <w:rPr>
      <w:rFonts w:hint="eastAsia" w:asciiTheme="minorHAnsi" w:hAnsiTheme="minorHAnsi" w:eastAsiaTheme="minorEastAsia" w:cstheme="minorBidi"/>
      <w:lang w:val="en-US" w:eastAsia="zh-Hans"/>
    </w:rPr>
  </w:style>
  <w:style w:type="paragraph" w:customStyle="1" w:styleId="173">
    <w:name w:val="Body text|1"/>
    <w:basedOn w:val="1"/>
    <w:autoRedefine/>
    <w:unhideWhenUsed/>
    <w:qFormat/>
    <w:uiPriority w:val="0"/>
    <w:pPr>
      <w:spacing w:beforeLines="0" w:afterLines="0" w:line="403"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93AA-BE63-4605-92AE-53BE3638D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16937</Words>
  <Characters>18282</Characters>
  <Lines>228</Lines>
  <Paragraphs>64</Paragraphs>
  <TotalTime>15</TotalTime>
  <ScaleCrop>false</ScaleCrop>
  <LinksUpToDate>false</LinksUpToDate>
  <CharactersWithSpaces>18457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严文丽</cp:lastModifiedBy>
  <cp:lastPrinted>2022-09-21T01:25:00Z</cp:lastPrinted>
  <dcterms:modified xsi:type="dcterms:W3CDTF">2025-02-11T06:41:29Z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9D4E797BC4794499A217BE5689D9ABAB_13</vt:lpwstr>
  </property>
  <property fmtid="{D5CDD505-2E9C-101B-9397-08002B2CF9AE}" pid="4" name="KSOTemplateDocerSaveRecord">
    <vt:lpwstr>eyJoZGlkIjoiZjM2ZjNjMjJmZDVlMjYwNzk0M2Y4MjcyYjE3YzM2NzIiLCJ1c2VySWQiOiI1Mjk0MzI2MTkifQ==</vt:lpwstr>
  </property>
</Properties>
</file>