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4341">
      <w:pPr>
        <w:spacing w:line="360" w:lineRule="auto"/>
        <w:jc w:val="center"/>
        <w:rPr>
          <w:rFonts w:ascii="黑体" w:hAnsi="黑体" w:eastAsia="黑体"/>
          <w:color w:val="auto"/>
          <w:sz w:val="30"/>
          <w:szCs w:val="30"/>
        </w:rPr>
      </w:pPr>
    </w:p>
    <w:p w14:paraId="7A0A7654">
      <w:pPr>
        <w:jc w:val="center"/>
        <w:rPr>
          <w:b/>
          <w:bCs/>
          <w:color w:val="auto"/>
          <w:sz w:val="44"/>
          <w:szCs w:val="44"/>
        </w:rPr>
      </w:pPr>
      <w:r>
        <w:rPr>
          <w:rFonts w:hint="eastAsia"/>
          <w:b/>
          <w:bCs/>
          <w:color w:val="FF0000"/>
          <w:sz w:val="44"/>
          <w:szCs w:val="44"/>
          <w:lang w:eastAsia="zh-CN"/>
        </w:rPr>
        <w:t>四川川信致远资产经营管理有限公司自动售货机销售食品饮料采购项目</w:t>
      </w:r>
    </w:p>
    <w:p w14:paraId="73CD1A63">
      <w:pPr>
        <w:spacing w:line="360" w:lineRule="auto"/>
        <w:jc w:val="center"/>
        <w:rPr>
          <w:rFonts w:ascii="黑体" w:hAnsi="黑体" w:eastAsia="黑体" w:cs="黑体"/>
          <w:color w:val="auto"/>
          <w:sz w:val="52"/>
          <w:szCs w:val="52"/>
        </w:rPr>
      </w:pPr>
    </w:p>
    <w:p w14:paraId="204E55A5">
      <w:pPr>
        <w:jc w:val="center"/>
        <w:rPr>
          <w:rFonts w:hint="eastAsia" w:ascii="黑体" w:hAnsi="黑体" w:eastAsia="黑体" w:cs="黑体"/>
          <w:color w:val="auto"/>
          <w:sz w:val="56"/>
          <w:szCs w:val="56"/>
        </w:rPr>
      </w:pPr>
    </w:p>
    <w:p w14:paraId="1F8D469C">
      <w:pPr>
        <w:jc w:val="center"/>
        <w:rPr>
          <w:rFonts w:ascii="黑体" w:hAnsi="黑体" w:eastAsia="黑体"/>
          <w:color w:val="auto"/>
          <w:sz w:val="56"/>
          <w:szCs w:val="56"/>
        </w:rPr>
      </w:pPr>
      <w:r>
        <w:rPr>
          <w:rFonts w:hint="eastAsia" w:ascii="黑体" w:hAnsi="黑体" w:eastAsia="黑体" w:cs="黑体"/>
          <w:color w:val="auto"/>
          <w:sz w:val="56"/>
          <w:szCs w:val="56"/>
        </w:rPr>
        <w:t>竞</w:t>
      </w:r>
    </w:p>
    <w:p w14:paraId="6CAF7E30">
      <w:pPr>
        <w:jc w:val="center"/>
        <w:rPr>
          <w:rFonts w:ascii="黑体" w:hAnsi="黑体" w:eastAsia="黑体"/>
          <w:color w:val="auto"/>
          <w:sz w:val="56"/>
          <w:szCs w:val="56"/>
        </w:rPr>
      </w:pPr>
      <w:r>
        <w:rPr>
          <w:rFonts w:hint="eastAsia" w:ascii="黑体" w:hAnsi="黑体" w:eastAsia="黑体" w:cs="黑体"/>
          <w:color w:val="auto"/>
          <w:sz w:val="56"/>
          <w:szCs w:val="56"/>
        </w:rPr>
        <w:t>争</w:t>
      </w:r>
    </w:p>
    <w:p w14:paraId="62E821F2">
      <w:pPr>
        <w:jc w:val="center"/>
        <w:rPr>
          <w:rFonts w:ascii="黑体" w:hAnsi="黑体" w:eastAsia="黑体"/>
          <w:color w:val="auto"/>
          <w:sz w:val="56"/>
          <w:szCs w:val="56"/>
        </w:rPr>
      </w:pPr>
      <w:r>
        <w:rPr>
          <w:rFonts w:hint="eastAsia" w:ascii="黑体" w:hAnsi="黑体" w:eastAsia="黑体" w:cs="黑体"/>
          <w:color w:val="auto"/>
          <w:sz w:val="56"/>
          <w:szCs w:val="56"/>
        </w:rPr>
        <w:t>性</w:t>
      </w:r>
    </w:p>
    <w:p w14:paraId="02AE2CA2">
      <w:pPr>
        <w:jc w:val="center"/>
        <w:rPr>
          <w:rFonts w:ascii="黑体" w:hAnsi="黑体" w:eastAsia="黑体"/>
          <w:color w:val="auto"/>
          <w:sz w:val="56"/>
          <w:szCs w:val="56"/>
        </w:rPr>
      </w:pPr>
      <w:r>
        <w:rPr>
          <w:rFonts w:hint="eastAsia" w:ascii="黑体" w:hAnsi="黑体" w:eastAsia="黑体" w:cs="黑体"/>
          <w:color w:val="auto"/>
          <w:sz w:val="56"/>
          <w:szCs w:val="56"/>
        </w:rPr>
        <w:t>谈</w:t>
      </w:r>
    </w:p>
    <w:p w14:paraId="4AD12B47">
      <w:pPr>
        <w:jc w:val="center"/>
        <w:rPr>
          <w:rFonts w:ascii="黑体" w:hAnsi="黑体" w:eastAsia="黑体"/>
          <w:color w:val="auto"/>
          <w:sz w:val="56"/>
          <w:szCs w:val="56"/>
        </w:rPr>
      </w:pPr>
      <w:r>
        <w:rPr>
          <w:rFonts w:hint="eastAsia" w:ascii="黑体" w:hAnsi="黑体" w:eastAsia="黑体" w:cs="黑体"/>
          <w:color w:val="auto"/>
          <w:sz w:val="56"/>
          <w:szCs w:val="56"/>
        </w:rPr>
        <w:t>判</w:t>
      </w:r>
    </w:p>
    <w:p w14:paraId="55384CE7">
      <w:pPr>
        <w:jc w:val="center"/>
        <w:rPr>
          <w:rFonts w:ascii="黑体" w:hAnsi="黑体" w:eastAsia="黑体"/>
          <w:color w:val="auto"/>
          <w:sz w:val="56"/>
          <w:szCs w:val="56"/>
        </w:rPr>
      </w:pPr>
      <w:r>
        <w:rPr>
          <w:rFonts w:hint="eastAsia" w:ascii="黑体" w:hAnsi="黑体" w:eastAsia="黑体" w:cs="黑体"/>
          <w:color w:val="auto"/>
          <w:sz w:val="56"/>
          <w:szCs w:val="56"/>
        </w:rPr>
        <w:t>文</w:t>
      </w:r>
    </w:p>
    <w:p w14:paraId="01A275D9">
      <w:pPr>
        <w:jc w:val="center"/>
        <w:rPr>
          <w:rFonts w:ascii="黑体" w:hAnsi="黑体" w:eastAsia="黑体"/>
          <w:color w:val="auto"/>
          <w:sz w:val="56"/>
          <w:szCs w:val="56"/>
        </w:rPr>
      </w:pPr>
      <w:r>
        <w:rPr>
          <w:rFonts w:hint="eastAsia" w:ascii="黑体" w:hAnsi="黑体" w:eastAsia="黑体" w:cs="黑体"/>
          <w:color w:val="auto"/>
          <w:sz w:val="56"/>
          <w:szCs w:val="56"/>
        </w:rPr>
        <w:t>件</w:t>
      </w:r>
    </w:p>
    <w:p w14:paraId="52324E92">
      <w:pPr>
        <w:spacing w:line="360" w:lineRule="auto"/>
        <w:jc w:val="center"/>
        <w:rPr>
          <w:rFonts w:ascii="黑体" w:hAnsi="黑体" w:eastAsia="黑体"/>
          <w:color w:val="auto"/>
          <w:sz w:val="32"/>
          <w:szCs w:val="32"/>
        </w:rPr>
      </w:pPr>
    </w:p>
    <w:p w14:paraId="3BD3DA8C">
      <w:pPr>
        <w:pStyle w:val="17"/>
        <w:rPr>
          <w:rFonts w:ascii="黑体" w:hAnsi="黑体" w:eastAsia="黑体"/>
          <w:color w:val="auto"/>
          <w:sz w:val="32"/>
          <w:szCs w:val="32"/>
        </w:rPr>
      </w:pPr>
    </w:p>
    <w:p w14:paraId="2DE7AFE8">
      <w:pPr>
        <w:rPr>
          <w:color w:val="auto"/>
        </w:rPr>
      </w:pPr>
    </w:p>
    <w:p w14:paraId="1BB4702E">
      <w:pPr>
        <w:pStyle w:val="40"/>
        <w:ind w:firstLine="210"/>
        <w:rPr>
          <w:color w:val="auto"/>
        </w:rPr>
      </w:pPr>
    </w:p>
    <w:p w14:paraId="3190DF96">
      <w:pPr>
        <w:pStyle w:val="41"/>
        <w:rPr>
          <w:color w:val="auto"/>
        </w:rPr>
      </w:pPr>
    </w:p>
    <w:tbl>
      <w:tblPr>
        <w:tblStyle w:val="43"/>
        <w:tblpPr w:leftFromText="180" w:rightFromText="180" w:vertAnchor="text" w:horzAnchor="page" w:tblpX="1989" w:tblpY="640"/>
        <w:tblOverlap w:val="never"/>
        <w:tblW w:w="86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7"/>
        <w:gridCol w:w="5385"/>
        <w:gridCol w:w="915"/>
      </w:tblGrid>
      <w:tr w14:paraId="69D0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07" w:type="dxa"/>
          </w:tcPr>
          <w:p w14:paraId="4317D972">
            <w:pPr>
              <w:spacing w:line="360" w:lineRule="auto"/>
              <w:rPr>
                <w:rFonts w:ascii="仿宋" w:hAnsi="仿宋" w:eastAsia="仿宋" w:cs="仿宋"/>
                <w:b/>
                <w:color w:val="auto"/>
                <w:kern w:val="0"/>
                <w:sz w:val="32"/>
                <w:szCs w:val="32"/>
              </w:rPr>
            </w:pPr>
            <w:r>
              <w:rPr>
                <w:rFonts w:hint="eastAsia" w:ascii="仿宋" w:hAnsi="仿宋" w:eastAsia="仿宋" w:cs="仿宋"/>
                <w:b/>
                <w:color w:val="auto"/>
                <w:kern w:val="0"/>
                <w:sz w:val="32"/>
                <w:szCs w:val="32"/>
              </w:rPr>
              <w:t>采   购   人：</w:t>
            </w:r>
          </w:p>
        </w:tc>
        <w:tc>
          <w:tcPr>
            <w:tcW w:w="5385" w:type="dxa"/>
          </w:tcPr>
          <w:p w14:paraId="75C0B1F0">
            <w:pPr>
              <w:spacing w:line="360" w:lineRule="auto"/>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val="en-US" w:eastAsia="zh-CN"/>
              </w:rPr>
              <w:t>四川川信致远资产经营管理有限公司</w:t>
            </w:r>
          </w:p>
        </w:tc>
        <w:tc>
          <w:tcPr>
            <w:tcW w:w="915" w:type="dxa"/>
            <w:vMerge w:val="restart"/>
            <w:vAlign w:val="center"/>
          </w:tcPr>
          <w:p w14:paraId="1C31CB56">
            <w:pPr>
              <w:spacing w:line="360" w:lineRule="auto"/>
              <w:jc w:val="center"/>
              <w:rPr>
                <w:rFonts w:ascii="仿宋" w:hAnsi="仿宋" w:eastAsia="仿宋" w:cs="仿宋"/>
                <w:b/>
                <w:color w:val="auto"/>
                <w:kern w:val="0"/>
                <w:sz w:val="30"/>
                <w:szCs w:val="30"/>
              </w:rPr>
            </w:pPr>
            <w:r>
              <w:rPr>
                <w:rFonts w:hint="eastAsia" w:ascii="仿宋" w:hAnsi="仿宋" w:eastAsia="仿宋" w:cs="仿宋"/>
                <w:b/>
                <w:color w:val="auto"/>
                <w:kern w:val="0"/>
                <w:sz w:val="30"/>
                <w:szCs w:val="30"/>
              </w:rPr>
              <w:t>共同</w:t>
            </w:r>
          </w:p>
          <w:p w14:paraId="7F1F0F05">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编制</w:t>
            </w:r>
          </w:p>
        </w:tc>
      </w:tr>
      <w:tr w14:paraId="7D1B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307" w:type="dxa"/>
          </w:tcPr>
          <w:p w14:paraId="249FD0FD">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采购代理机构：</w:t>
            </w:r>
          </w:p>
        </w:tc>
        <w:tc>
          <w:tcPr>
            <w:tcW w:w="5385" w:type="dxa"/>
          </w:tcPr>
          <w:p w14:paraId="306C29A5">
            <w:pPr>
              <w:spacing w:line="360" w:lineRule="auto"/>
              <w:rPr>
                <w:rFonts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重庆大正建设工程经济技术有限公司</w:t>
            </w:r>
            <w:r>
              <w:rPr>
                <w:rFonts w:hint="eastAsia" w:ascii="仿宋" w:hAnsi="仿宋" w:eastAsia="仿宋" w:cs="仿宋"/>
                <w:b/>
                <w:color w:val="auto"/>
                <w:kern w:val="0"/>
                <w:sz w:val="32"/>
                <w:szCs w:val="32"/>
              </w:rPr>
              <w:t xml:space="preserve"> </w:t>
            </w:r>
          </w:p>
        </w:tc>
        <w:tc>
          <w:tcPr>
            <w:tcW w:w="915" w:type="dxa"/>
            <w:vMerge w:val="continue"/>
          </w:tcPr>
          <w:p w14:paraId="1FD9C24B">
            <w:pPr>
              <w:spacing w:line="360" w:lineRule="auto"/>
              <w:jc w:val="center"/>
              <w:rPr>
                <w:rFonts w:ascii="仿宋" w:hAnsi="仿宋" w:eastAsia="仿宋" w:cs="仿宋"/>
                <w:b/>
                <w:color w:val="auto"/>
                <w:kern w:val="0"/>
                <w:sz w:val="32"/>
                <w:szCs w:val="32"/>
              </w:rPr>
            </w:pPr>
          </w:p>
        </w:tc>
      </w:tr>
    </w:tbl>
    <w:p w14:paraId="592BF8C2">
      <w:pPr>
        <w:spacing w:line="360" w:lineRule="auto"/>
        <w:jc w:val="center"/>
        <w:rPr>
          <w:b/>
          <w:bCs/>
          <w:color w:val="auto"/>
          <w:sz w:val="32"/>
          <w:szCs w:val="32"/>
        </w:rPr>
      </w:pPr>
      <w:r>
        <w:rPr>
          <w:rFonts w:hint="eastAsia"/>
          <w:color w:val="auto"/>
        </w:rPr>
        <w:t xml:space="preserve">   </w:t>
      </w:r>
      <w:r>
        <w:rPr>
          <w:b/>
          <w:bCs/>
          <w:color w:val="auto"/>
          <w:sz w:val="32"/>
          <w:szCs w:val="32"/>
        </w:rPr>
        <w:t>中国·四川（</w:t>
      </w:r>
      <w:r>
        <w:rPr>
          <w:rFonts w:hint="eastAsia"/>
          <w:b/>
          <w:bCs/>
          <w:color w:val="auto"/>
          <w:sz w:val="32"/>
          <w:szCs w:val="32"/>
        </w:rPr>
        <w:t>广元</w:t>
      </w:r>
      <w:r>
        <w:rPr>
          <w:b/>
          <w:bCs/>
          <w:color w:val="auto"/>
          <w:sz w:val="32"/>
          <w:szCs w:val="32"/>
        </w:rPr>
        <w:t>）</w:t>
      </w:r>
    </w:p>
    <w:p w14:paraId="7AB18BF1">
      <w:pPr>
        <w:pStyle w:val="17"/>
        <w:rPr>
          <w:color w:val="auto"/>
        </w:rPr>
      </w:pPr>
    </w:p>
    <w:p w14:paraId="46E34BC1">
      <w:pPr>
        <w:spacing w:line="360" w:lineRule="auto"/>
        <w:jc w:val="center"/>
        <w:rPr>
          <w:rFonts w:ascii="仿宋" w:hAnsi="仿宋" w:eastAsia="仿宋" w:cs="仿宋"/>
          <w:color w:val="auto"/>
          <w:sz w:val="36"/>
          <w:szCs w:val="36"/>
        </w:rPr>
      </w:pPr>
      <w:bookmarkStart w:id="0" w:name="PO_年份小写_1"/>
      <w:r>
        <w:rPr>
          <w:rFonts w:hint="eastAsia" w:ascii="黑体" w:hAnsi="黑体" w:eastAsia="黑体" w:cs="黑体"/>
          <w:color w:val="auto"/>
          <w:sz w:val="32"/>
          <w:szCs w:val="32"/>
          <w:lang w:val="zh-CN"/>
        </w:rPr>
        <w:t>202</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lang w:val="zh-CN"/>
        </w:rPr>
        <w:t>年</w:t>
      </w:r>
      <w:bookmarkEnd w:id="0"/>
      <w:bookmarkStart w:id="1" w:name="PO_月份小写_1"/>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lang w:val="zh-CN"/>
        </w:rPr>
        <w:t>月</w:t>
      </w:r>
      <w:bookmarkEnd w:id="1"/>
    </w:p>
    <w:p w14:paraId="1219F254">
      <w:pPr>
        <w:pStyle w:val="3"/>
        <w:keepNext w:val="0"/>
        <w:keepLines w:val="0"/>
        <w:spacing w:line="360" w:lineRule="auto"/>
        <w:jc w:val="center"/>
        <w:rPr>
          <w:rFonts w:ascii="仿宋" w:hAnsi="仿宋" w:eastAsia="仿宋" w:cs="仿宋"/>
          <w:color w:val="auto"/>
          <w:sz w:val="36"/>
          <w:szCs w:val="36"/>
        </w:rPr>
        <w:sectPr>
          <w:footerReference r:id="rId5" w:type="first"/>
          <w:headerReference r:id="rId3" w:type="default"/>
          <w:footerReference r:id="rId4" w:type="default"/>
          <w:pgSz w:w="11907" w:h="16840"/>
          <w:pgMar w:top="1440" w:right="1797" w:bottom="1440" w:left="1797" w:header="851" w:footer="992" w:gutter="0"/>
          <w:cols w:space="425" w:num="1"/>
          <w:docGrid w:linePitch="312" w:charSpace="0"/>
        </w:sectPr>
      </w:pPr>
    </w:p>
    <w:p w14:paraId="5DBBE107">
      <w:pPr>
        <w:pStyle w:val="3"/>
        <w:keepNext w:val="0"/>
        <w:keepLines w:val="0"/>
        <w:spacing w:line="360" w:lineRule="auto"/>
        <w:jc w:val="center"/>
        <w:rPr>
          <w:rFonts w:ascii="仿宋" w:hAnsi="仿宋" w:eastAsia="仿宋" w:cs="Times New Roman"/>
          <w:color w:val="auto"/>
        </w:rPr>
      </w:pPr>
      <w:r>
        <w:rPr>
          <w:rFonts w:hint="eastAsia" w:ascii="仿宋" w:hAnsi="仿宋" w:eastAsia="仿宋" w:cs="仿宋"/>
          <w:color w:val="auto"/>
          <w:sz w:val="36"/>
          <w:szCs w:val="36"/>
        </w:rPr>
        <w:t>目    录</w:t>
      </w:r>
    </w:p>
    <w:p w14:paraId="46AA0F58">
      <w:pPr>
        <w:pStyle w:val="29"/>
        <w:tabs>
          <w:tab w:val="right" w:leader="dot" w:pos="8303"/>
        </w:tabs>
        <w:rPr>
          <w:color w:val="auto"/>
        </w:rPr>
      </w:pPr>
      <w:r>
        <w:rPr>
          <w:rStyle w:val="48"/>
          <w:caps/>
          <w:color w:val="auto"/>
        </w:rPr>
        <w:fldChar w:fldCharType="begin"/>
      </w:r>
      <w:r>
        <w:rPr>
          <w:rStyle w:val="48"/>
          <w:caps/>
          <w:color w:val="auto"/>
        </w:rPr>
        <w:instrText xml:space="preserve">TOC \h \z \t "</w:instrText>
      </w:r>
      <w:r>
        <w:rPr>
          <w:rStyle w:val="48"/>
          <w:rFonts w:hint="eastAsia" w:cs="宋体"/>
          <w:caps/>
          <w:color w:val="auto"/>
        </w:rPr>
        <w:instrText xml:space="preserve">标题</w:instrText>
      </w:r>
      <w:r>
        <w:rPr>
          <w:rStyle w:val="48"/>
          <w:caps/>
          <w:color w:val="auto"/>
        </w:rPr>
        <w:instrText xml:space="preserve">,1"</w:instrText>
      </w:r>
      <w:r>
        <w:rPr>
          <w:rStyle w:val="48"/>
          <w:caps/>
          <w:color w:val="auto"/>
        </w:rPr>
        <w:fldChar w:fldCharType="separate"/>
      </w:r>
      <w:r>
        <w:rPr>
          <w:color w:val="auto"/>
        </w:rPr>
        <w:fldChar w:fldCharType="begin"/>
      </w:r>
      <w:r>
        <w:rPr>
          <w:color w:val="auto"/>
        </w:rPr>
        <w:instrText xml:space="preserve"> HYPERLINK \l "_Toc41037902" </w:instrText>
      </w:r>
      <w:r>
        <w:rPr>
          <w:color w:val="auto"/>
        </w:rPr>
        <w:fldChar w:fldCharType="separate"/>
      </w:r>
      <w:r>
        <w:rPr>
          <w:rStyle w:val="48"/>
          <w:rFonts w:hint="eastAsia" w:ascii="仿宋" w:hAnsi="仿宋" w:eastAsia="仿宋" w:cs="仿宋"/>
          <w:color w:val="auto"/>
        </w:rPr>
        <w:t>第一章   谈判邀请</w:t>
      </w:r>
      <w:r>
        <w:rPr>
          <w:color w:val="auto"/>
        </w:rPr>
        <w:tab/>
      </w:r>
      <w:r>
        <w:rPr>
          <w:rFonts w:hint="eastAsia"/>
          <w:color w:val="auto"/>
          <w:lang w:val="en-US" w:eastAsia="zh-CN"/>
        </w:rPr>
        <w:t>2</w:t>
      </w:r>
      <w:r>
        <w:rPr>
          <w:rFonts w:hint="eastAsia"/>
          <w:color w:val="auto"/>
        </w:rPr>
        <w:fldChar w:fldCharType="end"/>
      </w:r>
    </w:p>
    <w:p w14:paraId="7EB528E7">
      <w:pPr>
        <w:pStyle w:val="29"/>
        <w:tabs>
          <w:tab w:val="right" w:leader="dot" w:pos="8303"/>
        </w:tabs>
        <w:jc w:val="left"/>
        <w:rPr>
          <w:rFonts w:ascii="Calibri" w:hAnsi="Calibri" w:cs="Calibri"/>
          <w:color w:val="auto"/>
          <w:sz w:val="21"/>
          <w:szCs w:val="21"/>
        </w:rPr>
      </w:pPr>
      <w:r>
        <w:rPr>
          <w:color w:val="auto"/>
        </w:rPr>
        <w:fldChar w:fldCharType="begin"/>
      </w:r>
      <w:r>
        <w:rPr>
          <w:color w:val="auto"/>
        </w:rPr>
        <w:instrText xml:space="preserve"> HYPERLINK \l "_Toc41037903" </w:instrText>
      </w:r>
      <w:r>
        <w:rPr>
          <w:color w:val="auto"/>
        </w:rPr>
        <w:fldChar w:fldCharType="separate"/>
      </w:r>
      <w:r>
        <w:rPr>
          <w:rStyle w:val="48"/>
          <w:rFonts w:hint="eastAsia" w:ascii="仿宋" w:hAnsi="仿宋" w:eastAsia="仿宋" w:cs="仿宋"/>
          <w:color w:val="auto"/>
        </w:rPr>
        <w:t>第二章   谈判须知</w:t>
      </w:r>
      <w:r>
        <w:rPr>
          <w:color w:val="auto"/>
        </w:rPr>
        <w:tab/>
      </w:r>
      <w:r>
        <w:rPr>
          <w:rFonts w:hint="eastAsia"/>
          <w:color w:val="auto"/>
          <w:lang w:val="en-US" w:eastAsia="zh-CN"/>
        </w:rPr>
        <w:t>5</w:t>
      </w:r>
      <w:r>
        <w:rPr>
          <w:color w:val="auto"/>
        </w:rPr>
        <w:fldChar w:fldCharType="end"/>
      </w:r>
    </w:p>
    <w:p w14:paraId="1A491C38">
      <w:pPr>
        <w:pStyle w:val="29"/>
        <w:tabs>
          <w:tab w:val="right" w:leader="dot" w:pos="8303"/>
        </w:tabs>
        <w:rPr>
          <w:rFonts w:hint="eastAsia" w:ascii="Calibri" w:hAnsi="Calibri" w:eastAsia="宋体" w:cs="Calibri"/>
          <w:color w:val="auto"/>
          <w:sz w:val="21"/>
          <w:szCs w:val="21"/>
          <w:lang w:eastAsia="zh-CN"/>
        </w:rPr>
      </w:pPr>
      <w:r>
        <w:rPr>
          <w:color w:val="auto"/>
        </w:rPr>
        <w:fldChar w:fldCharType="begin"/>
      </w:r>
      <w:r>
        <w:rPr>
          <w:color w:val="auto"/>
        </w:rPr>
        <w:instrText xml:space="preserve"> HYPERLINK \l "_Toc41037904" </w:instrText>
      </w:r>
      <w:r>
        <w:rPr>
          <w:color w:val="auto"/>
        </w:rPr>
        <w:fldChar w:fldCharType="separate"/>
      </w:r>
      <w:r>
        <w:rPr>
          <w:rStyle w:val="48"/>
          <w:rFonts w:hint="eastAsia" w:ascii="仿宋" w:hAnsi="仿宋" w:eastAsia="仿宋" w:cs="仿宋"/>
          <w:color w:val="auto"/>
        </w:rPr>
        <w:t>第三章   供应商的资格、资质性及其他类似效力要求</w:t>
      </w:r>
      <w:r>
        <w:rPr>
          <w:color w:val="auto"/>
        </w:rPr>
        <w:tab/>
      </w:r>
      <w:r>
        <w:rPr>
          <w:color w:val="auto"/>
        </w:rPr>
        <w:t>2</w:t>
      </w:r>
      <w:r>
        <w:rPr>
          <w:color w:val="auto"/>
        </w:rPr>
        <w:fldChar w:fldCharType="end"/>
      </w:r>
      <w:r>
        <w:rPr>
          <w:rFonts w:hint="eastAsia"/>
          <w:color w:val="auto"/>
          <w:lang w:val="en-US" w:eastAsia="zh-CN"/>
        </w:rPr>
        <w:t>2</w:t>
      </w:r>
    </w:p>
    <w:p w14:paraId="005BF1F7">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"_Toc41037905" </w:instrText>
      </w:r>
      <w:r>
        <w:rPr>
          <w:color w:val="auto"/>
        </w:rPr>
        <w:fldChar w:fldCharType="separate"/>
      </w:r>
      <w:r>
        <w:rPr>
          <w:rStyle w:val="48"/>
          <w:rFonts w:hint="eastAsia" w:ascii="仿宋" w:hAnsi="仿宋" w:eastAsia="仿宋" w:cs="仿宋"/>
          <w:color w:val="auto"/>
        </w:rPr>
        <w:t>第四章   供应商应当提供的资格、资质性及其他类似效力要求的相关证明材料</w:t>
      </w:r>
      <w:r>
        <w:rPr>
          <w:color w:val="auto"/>
        </w:rPr>
        <w:tab/>
      </w:r>
      <w:r>
        <w:rPr>
          <w:rFonts w:hint="eastAsia"/>
          <w:color w:val="auto"/>
        </w:rPr>
        <w:t>2</w:t>
      </w:r>
      <w:r>
        <w:rPr>
          <w:rFonts w:hint="eastAsia"/>
          <w:color w:val="auto"/>
          <w:lang w:val="en-US" w:eastAsia="zh-CN"/>
        </w:rPr>
        <w:t>5</w:t>
      </w:r>
      <w:r>
        <w:rPr>
          <w:rFonts w:hint="eastAsia"/>
          <w:color w:val="auto"/>
        </w:rPr>
        <w:fldChar w:fldCharType="end"/>
      </w:r>
    </w:p>
    <w:p w14:paraId="618FBCAF">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"_Toc41037906" </w:instrText>
      </w:r>
      <w:r>
        <w:rPr>
          <w:color w:val="auto"/>
        </w:rPr>
        <w:fldChar w:fldCharType="separate"/>
      </w:r>
      <w:r>
        <w:rPr>
          <w:rStyle w:val="48"/>
          <w:rFonts w:hint="eastAsia" w:ascii="仿宋" w:hAnsi="仿宋" w:eastAsia="仿宋" w:cs="仿宋"/>
          <w:color w:val="auto"/>
        </w:rPr>
        <w:t>第五章   采购项目技术、服务、政府采购合同内容条款及其他商务要求</w:t>
      </w:r>
      <w:r>
        <w:rPr>
          <w:color w:val="auto"/>
        </w:rPr>
        <w:tab/>
      </w:r>
      <w:r>
        <w:rPr>
          <w:rFonts w:hint="eastAsia"/>
          <w:color w:val="auto"/>
        </w:rPr>
        <w:t>25</w:t>
      </w:r>
      <w:r>
        <w:rPr>
          <w:rFonts w:hint="eastAsia"/>
          <w:color w:val="auto"/>
        </w:rPr>
        <w:fldChar w:fldCharType="end"/>
      </w:r>
    </w:p>
    <w:p w14:paraId="63213AA0">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"_Toc41037907" </w:instrText>
      </w:r>
      <w:r>
        <w:rPr>
          <w:color w:val="auto"/>
        </w:rPr>
        <w:fldChar w:fldCharType="separate"/>
      </w:r>
      <w:r>
        <w:rPr>
          <w:rStyle w:val="48"/>
          <w:rFonts w:hint="eastAsia" w:ascii="仿宋" w:hAnsi="仿宋" w:eastAsia="仿宋" w:cs="仿宋"/>
          <w:color w:val="auto"/>
        </w:rPr>
        <w:t>第六章   谈判内容、谈判过程中可实质性变动的内容</w:t>
      </w:r>
      <w:r>
        <w:rPr>
          <w:color w:val="auto"/>
        </w:rPr>
        <w:tab/>
      </w:r>
      <w:r>
        <w:rPr>
          <w:rFonts w:hint="eastAsia"/>
          <w:color w:val="auto"/>
        </w:rPr>
        <w:t>2</w:t>
      </w:r>
      <w:r>
        <w:rPr>
          <w:rFonts w:hint="eastAsia"/>
          <w:color w:val="auto"/>
          <w:lang w:val="en-US" w:eastAsia="zh-CN"/>
        </w:rPr>
        <w:t>7</w:t>
      </w:r>
      <w:r>
        <w:rPr>
          <w:rFonts w:hint="eastAsia"/>
          <w:color w:val="auto"/>
        </w:rPr>
        <w:fldChar w:fldCharType="end"/>
      </w:r>
    </w:p>
    <w:p w14:paraId="292CD2B5">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"_Toc41037908" </w:instrText>
      </w:r>
      <w:r>
        <w:rPr>
          <w:color w:val="auto"/>
        </w:rPr>
        <w:fldChar w:fldCharType="separate"/>
      </w:r>
      <w:r>
        <w:rPr>
          <w:rStyle w:val="48"/>
          <w:rFonts w:hint="eastAsia" w:ascii="仿宋" w:hAnsi="仿宋" w:eastAsia="仿宋" w:cs="仿宋"/>
          <w:color w:val="auto"/>
        </w:rPr>
        <w:t>第七章   响应文件格式</w:t>
      </w:r>
      <w:r>
        <w:rPr>
          <w:color w:val="auto"/>
        </w:rPr>
        <w:tab/>
      </w:r>
      <w:r>
        <w:rPr>
          <w:rFonts w:hint="eastAsia"/>
          <w:color w:val="auto"/>
        </w:rPr>
        <w:t>2</w:t>
      </w:r>
      <w:r>
        <w:rPr>
          <w:rFonts w:hint="eastAsia"/>
          <w:color w:val="auto"/>
        </w:rPr>
        <w:fldChar w:fldCharType="end"/>
      </w:r>
      <w:r>
        <w:rPr>
          <w:rFonts w:hint="eastAsia"/>
          <w:color w:val="auto"/>
        </w:rPr>
        <w:t>7</w:t>
      </w:r>
    </w:p>
    <w:p w14:paraId="43CBC736">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"_Toc41037909" </w:instrText>
      </w:r>
      <w:r>
        <w:rPr>
          <w:color w:val="auto"/>
        </w:rPr>
        <w:fldChar w:fldCharType="separate"/>
      </w:r>
      <w:r>
        <w:rPr>
          <w:rStyle w:val="48"/>
          <w:rFonts w:hint="eastAsia" w:ascii="仿宋" w:hAnsi="仿宋" w:eastAsia="仿宋" w:cs="仿宋"/>
          <w:color w:val="auto"/>
        </w:rPr>
        <w:t>第八章   评审方法</w:t>
      </w:r>
      <w:r>
        <w:rPr>
          <w:color w:val="auto"/>
        </w:rPr>
        <w:tab/>
      </w:r>
      <w:r>
        <w:rPr>
          <w:rFonts w:hint="eastAsia"/>
          <w:color w:val="auto"/>
        </w:rPr>
        <w:t>4</w:t>
      </w:r>
      <w:r>
        <w:rPr>
          <w:rFonts w:hint="eastAsia"/>
          <w:color w:val="auto"/>
        </w:rPr>
        <w:fldChar w:fldCharType="end"/>
      </w:r>
      <w:r>
        <w:rPr>
          <w:rFonts w:hint="eastAsia"/>
          <w:color w:val="auto"/>
        </w:rPr>
        <w:t>7</w:t>
      </w:r>
    </w:p>
    <w:p w14:paraId="531E41E8">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"_Toc41037910" </w:instrText>
      </w:r>
      <w:r>
        <w:rPr>
          <w:color w:val="auto"/>
        </w:rPr>
        <w:fldChar w:fldCharType="separate"/>
      </w:r>
      <w:r>
        <w:rPr>
          <w:rStyle w:val="48"/>
          <w:rFonts w:hint="eastAsia" w:ascii="仿宋" w:hAnsi="仿宋" w:eastAsia="仿宋" w:cs="仿宋"/>
          <w:color w:val="auto"/>
        </w:rPr>
        <w:t>第九章   政府采购合同（草案）</w:t>
      </w:r>
      <w:r>
        <w:rPr>
          <w:color w:val="auto"/>
        </w:rPr>
        <w:tab/>
      </w:r>
      <w:r>
        <w:rPr>
          <w:rFonts w:hint="eastAsia"/>
          <w:color w:val="auto"/>
        </w:rPr>
        <w:t>5</w:t>
      </w:r>
      <w:r>
        <w:rPr>
          <w:rFonts w:hint="eastAsia"/>
          <w:color w:val="auto"/>
        </w:rPr>
        <w:fldChar w:fldCharType="end"/>
      </w:r>
      <w:r>
        <w:rPr>
          <w:rFonts w:hint="eastAsia"/>
          <w:color w:val="auto"/>
        </w:rPr>
        <w:t>5</w:t>
      </w:r>
    </w:p>
    <w:p w14:paraId="3B7BB315">
      <w:pPr>
        <w:pStyle w:val="29"/>
        <w:tabs>
          <w:tab w:val="right" w:leader="dot" w:pos="8303"/>
        </w:tabs>
        <w:rPr>
          <w:rFonts w:ascii="Calibri" w:hAnsi="Calibri" w:cs="Calibri"/>
          <w:color w:val="auto"/>
          <w:sz w:val="21"/>
          <w:szCs w:val="21"/>
        </w:rPr>
      </w:pPr>
    </w:p>
    <w:p w14:paraId="152A16FD">
      <w:pPr>
        <w:pStyle w:val="29"/>
        <w:tabs>
          <w:tab w:val="right" w:leader="dot" w:pos="9345"/>
        </w:tabs>
        <w:ind w:right="-105" w:rightChars="-50"/>
        <w:jc w:val="left"/>
        <w:rPr>
          <w:rFonts w:ascii="仿宋" w:hAnsi="仿宋" w:eastAsia="仿宋"/>
          <w:color w:val="auto"/>
        </w:rPr>
      </w:pPr>
      <w:r>
        <w:rPr>
          <w:rStyle w:val="48"/>
          <w:caps/>
          <w:color w:val="auto"/>
        </w:rPr>
        <w:fldChar w:fldCharType="end"/>
      </w:r>
    </w:p>
    <w:p w14:paraId="522D477A">
      <w:pPr>
        <w:pStyle w:val="38"/>
        <w:rPr>
          <w:rFonts w:ascii="仿宋" w:hAnsi="仿宋" w:eastAsia="仿宋" w:cs="仿宋"/>
          <w:color w:val="auto"/>
        </w:rPr>
      </w:pPr>
      <w:bookmarkStart w:id="2" w:name="_Toc41037902"/>
      <w:bookmarkStart w:id="3" w:name="_Toc509579140"/>
    </w:p>
    <w:p w14:paraId="1910BEE8">
      <w:pPr>
        <w:pStyle w:val="38"/>
        <w:rPr>
          <w:rFonts w:ascii="仿宋" w:hAnsi="仿宋" w:eastAsia="仿宋" w:cs="仿宋"/>
          <w:color w:val="auto"/>
        </w:rPr>
      </w:pPr>
    </w:p>
    <w:p w14:paraId="19F5B344">
      <w:pPr>
        <w:pStyle w:val="38"/>
        <w:rPr>
          <w:rFonts w:ascii="仿宋" w:hAnsi="仿宋" w:eastAsia="仿宋" w:cs="仿宋"/>
          <w:color w:val="auto"/>
        </w:rPr>
      </w:pPr>
    </w:p>
    <w:p w14:paraId="69ABD56D">
      <w:pPr>
        <w:pStyle w:val="38"/>
        <w:rPr>
          <w:rFonts w:ascii="仿宋" w:hAnsi="仿宋" w:eastAsia="仿宋" w:cs="仿宋"/>
          <w:color w:val="auto"/>
        </w:rPr>
      </w:pPr>
    </w:p>
    <w:p w14:paraId="1E9CAC57">
      <w:pPr>
        <w:pStyle w:val="38"/>
        <w:rPr>
          <w:rFonts w:ascii="黑体" w:hAnsi="黑体" w:eastAsia="黑体" w:cs="黑体"/>
          <w:b w:val="0"/>
          <w:bCs w:val="0"/>
          <w:color w:val="auto"/>
        </w:rPr>
      </w:pPr>
      <w:r>
        <w:rPr>
          <w:rFonts w:hint="eastAsia" w:ascii="仿宋" w:hAnsi="仿宋" w:eastAsia="仿宋" w:cs="仿宋"/>
          <w:color w:val="auto"/>
        </w:rPr>
        <w:br w:type="page"/>
      </w:r>
      <w:r>
        <w:rPr>
          <w:rFonts w:hint="eastAsia" w:ascii="黑体" w:hAnsi="黑体" w:eastAsia="黑体" w:cs="黑体"/>
          <w:b w:val="0"/>
          <w:bCs w:val="0"/>
          <w:color w:val="auto"/>
        </w:rPr>
        <w:t>第一章  谈判邀请</w:t>
      </w:r>
      <w:bookmarkEnd w:id="2"/>
      <w:bookmarkEnd w:id="3"/>
    </w:p>
    <w:p w14:paraId="36BABE76">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u w:val="single"/>
          <w:lang w:eastAsia="zh-CN"/>
        </w:rPr>
        <w:t>重庆大正建设工程经济技术有限公司</w:t>
      </w:r>
      <w:r>
        <w:rPr>
          <w:rFonts w:hint="eastAsia" w:ascii="仿宋" w:hAnsi="仿宋" w:eastAsia="仿宋" w:cs="仿宋"/>
          <w:color w:val="auto"/>
          <w:sz w:val="28"/>
          <w:szCs w:val="28"/>
        </w:rPr>
        <w:t>（采购代理机构）受</w:t>
      </w:r>
      <w:r>
        <w:rPr>
          <w:rFonts w:hint="eastAsia" w:ascii="仿宋" w:hAnsi="仿宋" w:eastAsia="仿宋" w:cs="仿宋"/>
          <w:color w:val="auto"/>
          <w:sz w:val="28"/>
          <w:szCs w:val="28"/>
          <w:u w:val="single"/>
          <w:lang w:val="en-US" w:eastAsia="zh-CN"/>
        </w:rPr>
        <w:t>四川川信致远资产经营管理有限公司</w:t>
      </w:r>
      <w:r>
        <w:rPr>
          <w:rFonts w:hint="eastAsia" w:ascii="仿宋" w:hAnsi="仿宋" w:eastAsia="仿宋" w:cs="仿宋"/>
          <w:color w:val="auto"/>
          <w:sz w:val="28"/>
          <w:szCs w:val="28"/>
        </w:rPr>
        <w:t>委托，拟对</w:t>
      </w:r>
      <w:bookmarkStart w:id="4" w:name="PO_默认文件内容_1"/>
      <w:r>
        <w:rPr>
          <w:rFonts w:hint="eastAsia" w:ascii="仿宋" w:hAnsi="仿宋" w:eastAsia="仿宋" w:cs="仿宋"/>
          <w:color w:val="auto"/>
          <w:sz w:val="28"/>
          <w:szCs w:val="28"/>
          <w:u w:val="single"/>
          <w:lang w:eastAsia="zh-CN"/>
        </w:rPr>
        <w:t>四川川信致远资产经营管理有限公司自动售货机销售食品饮料采购项目</w:t>
      </w:r>
      <w:r>
        <w:rPr>
          <w:rFonts w:hint="eastAsia" w:ascii="仿宋" w:hAnsi="仿宋" w:eastAsia="仿宋" w:cs="仿宋"/>
          <w:color w:val="auto"/>
          <w:sz w:val="28"/>
          <w:szCs w:val="28"/>
        </w:rPr>
        <w:t>采用竞争性谈判方式进行采购，特邀请符合本次采购要求的供应商参加本项目的竞争性谈判。</w:t>
      </w:r>
      <w:bookmarkEnd w:id="4"/>
    </w:p>
    <w:p w14:paraId="323AB202">
      <w:pPr>
        <w:spacing w:line="360" w:lineRule="auto"/>
        <w:rPr>
          <w:rFonts w:ascii="仿宋" w:hAnsi="仿宋" w:eastAsia="仿宋"/>
          <w:b/>
          <w:bCs/>
          <w:color w:val="auto"/>
          <w:sz w:val="28"/>
          <w:szCs w:val="28"/>
        </w:rPr>
      </w:pPr>
      <w:r>
        <w:rPr>
          <w:rFonts w:hint="eastAsia" w:ascii="仿宋" w:hAnsi="仿宋" w:eastAsia="仿宋" w:cs="仿宋"/>
          <w:b/>
          <w:bCs/>
          <w:color w:val="auto"/>
          <w:sz w:val="28"/>
          <w:szCs w:val="28"/>
        </w:rPr>
        <w:t>一、采购项目基本情况</w:t>
      </w:r>
    </w:p>
    <w:p w14:paraId="081C29A3">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1、项目编号：CQDZGY-2025-002</w:t>
      </w:r>
    </w:p>
    <w:p w14:paraId="4281BC9F">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采购项目名称：</w:t>
      </w:r>
      <w:r>
        <w:rPr>
          <w:rFonts w:hint="eastAsia" w:ascii="仿宋" w:hAnsi="仿宋" w:eastAsia="仿宋" w:cs="仿宋"/>
          <w:color w:val="auto"/>
          <w:sz w:val="28"/>
          <w:szCs w:val="28"/>
          <w:lang w:eastAsia="zh-CN"/>
        </w:rPr>
        <w:t>四川川信致远资产经营管理有限公司自动售货机销售食品饮料采购项目</w:t>
      </w:r>
      <w:r>
        <w:rPr>
          <w:rFonts w:hint="eastAsia" w:ascii="仿宋" w:hAnsi="仿宋" w:eastAsia="仿宋" w:cs="仿宋"/>
          <w:color w:val="auto"/>
          <w:sz w:val="28"/>
          <w:szCs w:val="28"/>
          <w:lang w:val="zh-CN"/>
        </w:rPr>
        <w:t>。</w:t>
      </w:r>
    </w:p>
    <w:p w14:paraId="15CDF499">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en-US" w:eastAsia="zh-CN"/>
        </w:rPr>
        <w:t>四川川信致远资产经营管理有限公司</w:t>
      </w:r>
    </w:p>
    <w:p w14:paraId="1B7D805B">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采购代理机构：</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rPr>
        <w:t>。</w:t>
      </w:r>
    </w:p>
    <w:p w14:paraId="6AA0FB57">
      <w:pPr>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二、资金</w:t>
      </w:r>
      <w:r>
        <w:rPr>
          <w:rFonts w:hint="eastAsia" w:ascii="仿宋" w:hAnsi="仿宋" w:eastAsia="仿宋" w:cs="仿宋"/>
          <w:b/>
          <w:bCs/>
          <w:color w:val="auto"/>
          <w:sz w:val="28"/>
          <w:szCs w:val="28"/>
          <w:lang w:val="en-US" w:eastAsia="zh-CN"/>
        </w:rPr>
        <w:t>来源</w:t>
      </w:r>
    </w:p>
    <w:p w14:paraId="0F0363B7">
      <w:p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FF0000"/>
          <w:sz w:val="28"/>
          <w:szCs w:val="28"/>
          <w:lang w:val="en-US" w:eastAsia="zh-CN"/>
        </w:rPr>
        <w:t>资金来源：自有资金。</w:t>
      </w:r>
    </w:p>
    <w:p w14:paraId="0DDED96C">
      <w:pPr>
        <w:spacing w:after="120" w:line="360" w:lineRule="auto"/>
        <w:rPr>
          <w:rFonts w:hint="eastAsia" w:ascii="仿宋" w:hAnsi="仿宋" w:eastAsia="仿宋" w:cs="仿宋"/>
          <w:b/>
          <w:bCs/>
          <w:color w:val="auto"/>
          <w:spacing w:val="-4"/>
          <w:sz w:val="28"/>
          <w:szCs w:val="28"/>
          <w:lang w:val="en-US" w:eastAsia="zh-CN"/>
        </w:rPr>
      </w:pPr>
      <w:r>
        <w:rPr>
          <w:rFonts w:hint="eastAsia" w:ascii="仿宋" w:hAnsi="仿宋" w:eastAsia="仿宋" w:cs="仿宋"/>
          <w:b/>
          <w:bCs/>
          <w:color w:val="auto"/>
          <w:spacing w:val="-4"/>
          <w:sz w:val="28"/>
          <w:szCs w:val="28"/>
          <w:lang w:val="en-US" w:eastAsia="zh-CN"/>
        </w:rPr>
        <w:t>三、</w:t>
      </w:r>
      <w:r>
        <w:rPr>
          <w:rFonts w:hint="eastAsia" w:ascii="仿宋" w:hAnsi="仿宋" w:eastAsia="仿宋" w:cs="仿宋"/>
          <w:b/>
          <w:color w:val="auto"/>
          <w:sz w:val="28"/>
          <w:szCs w:val="28"/>
        </w:rPr>
        <w:t>采购项目简介：</w:t>
      </w:r>
      <w:r>
        <w:rPr>
          <w:rFonts w:hint="eastAsia" w:ascii="仿宋" w:hAnsi="仿宋" w:eastAsia="仿宋" w:cs="仿宋"/>
          <w:bCs/>
          <w:color w:val="auto"/>
          <w:sz w:val="28"/>
          <w:szCs w:val="28"/>
        </w:rPr>
        <w:t>详见谈判文件第五章。</w:t>
      </w:r>
    </w:p>
    <w:p w14:paraId="1BDD860A">
      <w:pPr>
        <w:spacing w:after="120" w:line="360" w:lineRule="auto"/>
        <w:rPr>
          <w:rFonts w:ascii="仿宋" w:hAnsi="仿宋" w:eastAsia="仿宋" w:cs="仿宋"/>
          <w:b/>
          <w:bCs/>
          <w:color w:val="auto"/>
          <w:sz w:val="28"/>
          <w:szCs w:val="28"/>
        </w:rPr>
      </w:pPr>
      <w:r>
        <w:rPr>
          <w:rFonts w:hint="eastAsia" w:ascii="仿宋" w:hAnsi="仿宋" w:eastAsia="仿宋" w:cs="仿宋"/>
          <w:b/>
          <w:bCs/>
          <w:color w:val="auto"/>
          <w:spacing w:val="-4"/>
          <w:sz w:val="28"/>
          <w:szCs w:val="28"/>
          <w:lang w:val="en-US" w:eastAsia="zh-CN"/>
        </w:rPr>
        <w:t>四</w:t>
      </w:r>
      <w:r>
        <w:rPr>
          <w:rFonts w:hint="eastAsia" w:ascii="仿宋" w:hAnsi="仿宋" w:eastAsia="仿宋" w:cs="仿宋"/>
          <w:b/>
          <w:bCs/>
          <w:color w:val="auto"/>
          <w:spacing w:val="-4"/>
          <w:sz w:val="28"/>
          <w:szCs w:val="28"/>
        </w:rPr>
        <w:t>、</w:t>
      </w:r>
      <w:r>
        <w:rPr>
          <w:rFonts w:hint="eastAsia" w:ascii="仿宋" w:hAnsi="仿宋" w:eastAsia="仿宋" w:cs="仿宋"/>
          <w:b/>
          <w:bCs/>
          <w:color w:val="auto"/>
          <w:sz w:val="28"/>
          <w:szCs w:val="28"/>
        </w:rPr>
        <w:t>供应商邀请方式</w:t>
      </w:r>
    </w:p>
    <w:p w14:paraId="0E8B9FE4">
      <w:pPr>
        <w:spacing w:after="120" w:line="360" w:lineRule="auto"/>
        <w:ind w:firstLine="560" w:firstLineChars="200"/>
        <w:rPr>
          <w:rFonts w:ascii="仿宋" w:hAnsi="仿宋" w:eastAsia="仿宋" w:cs="仿宋"/>
          <w:bCs/>
          <w:color w:val="auto"/>
          <w:sz w:val="28"/>
          <w:szCs w:val="28"/>
        </w:rPr>
      </w:pPr>
      <w:r>
        <w:rPr>
          <w:rFonts w:ascii="仿宋" w:hAnsi="仿宋" w:eastAsia="仿宋" w:cs="仿宋"/>
          <w:bCs/>
          <w:color w:val="auto"/>
          <w:sz w:val="28"/>
          <w:szCs w:val="28"/>
        </w:rPr>
        <w:t>公告方式：本次竞争性</w:t>
      </w:r>
      <w:r>
        <w:rPr>
          <w:rFonts w:hint="eastAsia" w:ascii="仿宋" w:hAnsi="仿宋" w:eastAsia="仿宋" w:cs="仿宋"/>
          <w:bCs/>
          <w:color w:val="auto"/>
          <w:sz w:val="28"/>
          <w:szCs w:val="28"/>
        </w:rPr>
        <w:t>谈判</w:t>
      </w:r>
      <w:r>
        <w:rPr>
          <w:rFonts w:ascii="仿宋" w:hAnsi="仿宋" w:eastAsia="仿宋" w:cs="仿宋"/>
          <w:bCs/>
          <w:color w:val="auto"/>
          <w:sz w:val="28"/>
          <w:szCs w:val="28"/>
        </w:rPr>
        <w:t>邀请在</w:t>
      </w:r>
      <w:r>
        <w:rPr>
          <w:rFonts w:hint="eastAsia" w:ascii="仿宋" w:hAnsi="仿宋" w:eastAsia="仿宋" w:cs="仿宋"/>
          <w:bCs/>
          <w:color w:val="auto"/>
          <w:sz w:val="28"/>
          <w:szCs w:val="28"/>
          <w:lang w:eastAsia="zh-CN"/>
        </w:rPr>
        <w:t>四川川信致远资产经营管理有限公司官网</w:t>
      </w:r>
      <w:r>
        <w:rPr>
          <w:rFonts w:hint="eastAsia" w:ascii="仿宋" w:hAnsi="仿宋" w:eastAsia="仿宋" w:cs="仿宋"/>
          <w:bCs/>
          <w:color w:val="auto"/>
          <w:sz w:val="28"/>
          <w:szCs w:val="28"/>
          <w:lang w:val="en-US" w:eastAsia="zh-CN"/>
        </w:rPr>
        <w:t>和采购招标网（https://www.chinabidding.cc/）</w:t>
      </w:r>
      <w:r>
        <w:rPr>
          <w:rFonts w:ascii="仿宋" w:hAnsi="仿宋" w:eastAsia="仿宋" w:cs="仿宋"/>
          <w:bCs/>
          <w:color w:val="auto"/>
          <w:sz w:val="28"/>
          <w:szCs w:val="28"/>
        </w:rPr>
        <w:t>上以公告形式发布</w:t>
      </w:r>
      <w:r>
        <w:rPr>
          <w:rFonts w:hint="eastAsia" w:ascii="仿宋" w:hAnsi="仿宋" w:eastAsia="仿宋" w:cs="仿宋"/>
          <w:bCs/>
          <w:color w:val="auto"/>
          <w:sz w:val="28"/>
          <w:szCs w:val="28"/>
        </w:rPr>
        <w:t>。</w:t>
      </w:r>
    </w:p>
    <w:p w14:paraId="1E3ED2C3">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、供应商参加本次采购活动，应具备下列条件：</w:t>
      </w:r>
    </w:p>
    <w:p w14:paraId="30210E60">
      <w:pPr>
        <w:snapToGrid w:val="0"/>
        <w:spacing w:line="576" w:lineRule="exact"/>
        <w:ind w:firstLine="560" w:firstLineChars="200"/>
        <w:rPr>
          <w:rFonts w:ascii="仿宋" w:hAnsi="仿宋" w:eastAsia="仿宋" w:cs="仿宋"/>
          <w:bCs/>
          <w:color w:val="auto"/>
          <w:sz w:val="28"/>
          <w:szCs w:val="28"/>
        </w:rPr>
      </w:pPr>
      <w:bookmarkStart w:id="5" w:name="PO_供应商资格条件_1"/>
      <w:r>
        <w:rPr>
          <w:rFonts w:hint="eastAsia" w:ascii="仿宋" w:hAnsi="仿宋" w:eastAsia="仿宋" w:cs="仿宋"/>
          <w:bCs/>
          <w:color w:val="auto"/>
          <w:sz w:val="28"/>
          <w:szCs w:val="28"/>
        </w:rPr>
        <w:t xml:space="preserve">具备《中华人民共和国政府采购法》第二十二条规定的条件： </w:t>
      </w:r>
    </w:p>
    <w:p w14:paraId="061C84C7">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1.具有独立承担民事责任的能力；</w:t>
      </w:r>
    </w:p>
    <w:p w14:paraId="7C2A6A39">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2.具有良好的商业信誉和健全的财务会计制度；</w:t>
      </w:r>
    </w:p>
    <w:p w14:paraId="74FDB7CB">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3.具有履行合同所必须的设备和专业技术能力；</w:t>
      </w:r>
    </w:p>
    <w:p w14:paraId="49B57A94">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4.具有依法缴纳税收和社会保障资金的良好记录；</w:t>
      </w:r>
    </w:p>
    <w:p w14:paraId="2141AAE8">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5.参加本次政府采购活动前三年内，在经营活动中没有重大违法记录；</w:t>
      </w:r>
    </w:p>
    <w:p w14:paraId="5B15BA6B">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6.法律、行政法规规定的其他条件。</w:t>
      </w:r>
    </w:p>
    <w:p w14:paraId="651E11F4">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7.根据采购项目提出的特殊条件：</w:t>
      </w:r>
      <w:r>
        <w:rPr>
          <w:rFonts w:hint="eastAsia" w:ascii="仿宋" w:hAnsi="仿宋" w:eastAsia="仿宋" w:cs="仿宋"/>
          <w:bCs/>
          <w:color w:val="auto"/>
          <w:sz w:val="28"/>
          <w:szCs w:val="28"/>
          <w:u w:val="single"/>
        </w:rPr>
        <w:t>本项目不接受联合体谈判。</w:t>
      </w:r>
      <w:bookmarkEnd w:id="5"/>
    </w:p>
    <w:p w14:paraId="42D0F4CE">
      <w:pPr>
        <w:snapToGrid w:val="0"/>
        <w:spacing w:line="576"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rPr>
        <w:t>、禁止参加本次采购活动的供应商</w:t>
      </w:r>
    </w:p>
    <w:p w14:paraId="60CB8839">
      <w:pPr>
        <w:snapToGrid w:val="0"/>
        <w:spacing w:line="576" w:lineRule="exact"/>
        <w:ind w:firstLine="560" w:firstLineChars="200"/>
        <w:rPr>
          <w:rFonts w:ascii="仿宋" w:hAnsi="仿宋" w:eastAsia="仿宋" w:cs="仿宋"/>
          <w:bCs/>
          <w:color w:val="auto"/>
          <w:sz w:val="28"/>
          <w:szCs w:val="28"/>
        </w:rPr>
      </w:pPr>
      <w:bookmarkStart w:id="6" w:name="PO_默认文件内容_4"/>
      <w:r>
        <w:rPr>
          <w:rFonts w:hint="eastAsia" w:ascii="仿宋" w:hAnsi="仿宋" w:eastAsia="仿宋" w:cs="仿宋"/>
          <w:bCs/>
          <w:color w:val="auto"/>
          <w:sz w:val="28"/>
          <w:szCs w:val="28"/>
        </w:rPr>
        <w:t>根据《关于在政府采购活动中查询及使用信用记录有关问题的通知》（财库〔2016〕125号）的要求，</w:t>
      </w:r>
      <w:r>
        <w:rPr>
          <w:rFonts w:hint="eastAsia" w:ascii="仿宋" w:hAnsi="仿宋" w:eastAsia="仿宋" w:cs="仿宋"/>
          <w:bCs/>
          <w:color w:val="auto"/>
          <w:sz w:val="28"/>
          <w:szCs w:val="28"/>
          <w:lang w:eastAsia="zh-CN"/>
        </w:rPr>
        <w:t>重庆大正建设工程经济技术有限公司</w:t>
      </w:r>
      <w:r>
        <w:rPr>
          <w:rFonts w:hint="eastAsia" w:ascii="仿宋" w:hAnsi="仿宋" w:eastAsia="仿宋" w:cs="仿宋"/>
          <w:bCs/>
          <w:color w:val="auto"/>
          <w:sz w:val="28"/>
          <w:szCs w:val="28"/>
        </w:rPr>
        <w:t>（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6"/>
    <w:p w14:paraId="7C781E32">
      <w:pPr>
        <w:snapToGrid w:val="0"/>
        <w:spacing w:line="576"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、竞争性谈判文件获取时间及方式</w:t>
      </w:r>
      <w:r>
        <w:rPr>
          <w:rFonts w:hint="eastAsia" w:ascii="仿宋" w:hAnsi="仿宋" w:eastAsia="仿宋" w:cs="仿宋"/>
          <w:b/>
          <w:color w:val="auto"/>
          <w:sz w:val="28"/>
          <w:szCs w:val="28"/>
          <w:lang w:val="zh-CN"/>
        </w:rPr>
        <w:t>。</w:t>
      </w:r>
    </w:p>
    <w:p w14:paraId="3937917A">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竞争性谈判自</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01</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21</w:t>
      </w:r>
      <w:r>
        <w:rPr>
          <w:rFonts w:hint="eastAsia" w:ascii="仿宋" w:hAnsi="仿宋" w:eastAsia="仿宋" w:cs="仿宋"/>
          <w:bCs/>
          <w:color w:val="auto"/>
          <w:sz w:val="28"/>
          <w:szCs w:val="28"/>
        </w:rPr>
        <w:t>日至</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01</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23</w:t>
      </w:r>
      <w:r>
        <w:rPr>
          <w:rFonts w:hint="eastAsia" w:ascii="仿宋" w:hAnsi="仿宋" w:eastAsia="仿宋" w:cs="仿宋"/>
          <w:bCs/>
          <w:color w:val="auto"/>
          <w:sz w:val="28"/>
          <w:szCs w:val="28"/>
        </w:rPr>
        <w:t>日上午</w:t>
      </w:r>
      <w:r>
        <w:rPr>
          <w:rFonts w:hint="eastAsia" w:ascii="仿宋" w:hAnsi="仿宋" w:eastAsia="仿宋" w:cs="仿宋"/>
          <w:b/>
          <w:color w:val="auto"/>
          <w:sz w:val="28"/>
          <w:szCs w:val="28"/>
          <w:u w:val="single"/>
        </w:rPr>
        <w:t>09:00-12:00</w:t>
      </w:r>
      <w:r>
        <w:rPr>
          <w:rFonts w:hint="eastAsia" w:ascii="仿宋" w:hAnsi="仿宋" w:eastAsia="仿宋" w:cs="仿宋"/>
          <w:bCs/>
          <w:color w:val="auto"/>
          <w:sz w:val="28"/>
          <w:szCs w:val="28"/>
        </w:rPr>
        <w:t>，下午</w:t>
      </w:r>
      <w:r>
        <w:rPr>
          <w:rFonts w:hint="eastAsia" w:ascii="仿宋" w:hAnsi="仿宋" w:eastAsia="仿宋" w:cs="仿宋"/>
          <w:b/>
          <w:color w:val="auto"/>
          <w:sz w:val="28"/>
          <w:szCs w:val="28"/>
          <w:u w:val="single"/>
        </w:rPr>
        <w:t>14:00-17:00</w:t>
      </w:r>
      <w:r>
        <w:rPr>
          <w:rFonts w:hint="eastAsia" w:ascii="仿宋" w:hAnsi="仿宋" w:eastAsia="仿宋" w:cs="仿宋"/>
          <w:bCs/>
          <w:color w:val="auto"/>
          <w:sz w:val="28"/>
          <w:szCs w:val="28"/>
        </w:rPr>
        <w:t>（北京时间，法定节假日除外）在</w:t>
      </w:r>
      <w:r>
        <w:rPr>
          <w:rFonts w:hint="eastAsia" w:ascii="仿宋" w:hAnsi="仿宋" w:eastAsia="仿宋" w:cs="仿宋"/>
          <w:bCs/>
          <w:color w:val="auto"/>
          <w:sz w:val="28"/>
          <w:szCs w:val="28"/>
          <w:lang w:eastAsia="zh-CN"/>
        </w:rPr>
        <w:t>重庆大正建设工程经济技术有限公司</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广元市利州区万源邦泰.天誉(西区)3-3-42</w:t>
      </w:r>
      <w:r>
        <w:rPr>
          <w:rFonts w:hint="eastAsia" w:ascii="仿宋" w:hAnsi="仿宋" w:eastAsia="仿宋" w:cs="仿宋"/>
          <w:bCs/>
          <w:color w:val="auto"/>
          <w:sz w:val="28"/>
          <w:szCs w:val="28"/>
        </w:rPr>
        <w:t>）现场获取。谈判文件售价：人民币</w:t>
      </w:r>
      <w:r>
        <w:rPr>
          <w:rFonts w:hint="eastAsia" w:ascii="仿宋" w:hAnsi="仿宋" w:eastAsia="仿宋" w:cs="仿宋"/>
          <w:b/>
          <w:color w:val="auto"/>
          <w:sz w:val="28"/>
          <w:szCs w:val="28"/>
          <w:u w:val="single"/>
          <w:lang w:val="en-US" w:eastAsia="zh-CN"/>
        </w:rPr>
        <w:t>3</w:t>
      </w:r>
      <w:r>
        <w:rPr>
          <w:rFonts w:hint="eastAsia" w:ascii="仿宋" w:hAnsi="仿宋" w:eastAsia="仿宋" w:cs="仿宋"/>
          <w:b/>
          <w:color w:val="auto"/>
          <w:sz w:val="28"/>
          <w:szCs w:val="28"/>
          <w:u w:val="single"/>
        </w:rPr>
        <w:t>00</w:t>
      </w:r>
      <w:r>
        <w:rPr>
          <w:rFonts w:hint="eastAsia" w:ascii="仿宋" w:hAnsi="仿宋" w:eastAsia="仿宋" w:cs="仿宋"/>
          <w:bCs/>
          <w:color w:val="auto"/>
          <w:sz w:val="28"/>
          <w:szCs w:val="28"/>
        </w:rPr>
        <w:t>元/份（竞争性谈判文件售后不退,谈判资格不能转让）。</w:t>
      </w:r>
    </w:p>
    <w:p w14:paraId="69C25658">
      <w:pPr>
        <w:spacing w:line="360" w:lineRule="auto"/>
        <w:ind w:firstLine="560" w:firstLineChars="200"/>
        <w:rPr>
          <w:rFonts w:hint="eastAsia" w:ascii="仿宋" w:hAnsi="仿宋" w:eastAsia="仿宋" w:cs="仿宋"/>
          <w:bCs/>
          <w:color w:val="auto"/>
          <w:sz w:val="28"/>
          <w:szCs w:val="28"/>
        </w:rPr>
      </w:pPr>
      <w:r>
        <w:rPr>
          <w:rFonts w:hint="eastAsia" w:ascii="宋体" w:hAnsi="宋体" w:cs="宋体"/>
          <w:b/>
          <w:bCs/>
          <w:color w:val="auto"/>
          <w:sz w:val="28"/>
          <w:szCs w:val="28"/>
        </w:rPr>
        <w:t>现场获取</w:t>
      </w:r>
      <w:r>
        <w:rPr>
          <w:rFonts w:hint="eastAsia" w:ascii="宋体" w:hAnsi="宋体" w:cs="宋体"/>
          <w:b/>
          <w:bCs/>
          <w:color w:val="auto"/>
          <w:sz w:val="28"/>
          <w:szCs w:val="28"/>
          <w:lang w:val="en-US" w:eastAsia="zh-CN"/>
        </w:rPr>
        <w:t>谈判</w:t>
      </w:r>
      <w:r>
        <w:rPr>
          <w:rFonts w:hint="eastAsia" w:ascii="宋体" w:hAnsi="宋体" w:cs="宋体"/>
          <w:b/>
          <w:bCs/>
          <w:color w:val="auto"/>
          <w:sz w:val="28"/>
          <w:szCs w:val="28"/>
        </w:rPr>
        <w:t>文件：</w:t>
      </w:r>
      <w:r>
        <w:rPr>
          <w:rFonts w:hint="eastAsia" w:ascii="仿宋" w:hAnsi="仿宋" w:eastAsia="仿宋" w:cs="仿宋"/>
          <w:bCs/>
          <w:color w:val="auto"/>
          <w:sz w:val="28"/>
          <w:szCs w:val="28"/>
        </w:rPr>
        <w:t>经办人员须携带介绍信、委托人身份证、营业执照副本复印件（加盖公章），带U盘拷贝或发邮件。</w:t>
      </w:r>
    </w:p>
    <w:p w14:paraId="413FCB6F">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rPr>
        <w:t>八、递交响应文件截止时间：</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01</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24</w:t>
      </w:r>
      <w:r>
        <w:rPr>
          <w:rFonts w:hint="eastAsia" w:ascii="仿宋" w:hAnsi="仿宋" w:eastAsia="仿宋" w:cs="仿宋"/>
          <w:bCs/>
          <w:color w:val="auto"/>
          <w:sz w:val="28"/>
          <w:szCs w:val="28"/>
        </w:rPr>
        <w:t>日</w:t>
      </w:r>
      <w:r>
        <w:rPr>
          <w:rFonts w:hint="eastAsia" w:ascii="仿宋" w:hAnsi="仿宋" w:eastAsia="仿宋" w:cs="仿宋"/>
          <w:b/>
          <w:color w:val="auto"/>
          <w:sz w:val="28"/>
          <w:szCs w:val="28"/>
          <w:u w:val="single"/>
        </w:rPr>
        <w:t>10:00</w:t>
      </w:r>
      <w:r>
        <w:rPr>
          <w:rFonts w:hint="eastAsia" w:ascii="仿宋" w:hAnsi="仿宋" w:eastAsia="仿宋" w:cs="仿宋"/>
          <w:bCs/>
          <w:color w:val="auto"/>
          <w:sz w:val="28"/>
          <w:szCs w:val="28"/>
        </w:rPr>
        <w:t>（北京时间）。</w:t>
      </w:r>
    </w:p>
    <w:p w14:paraId="366144A2">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
          <w:color w:val="auto"/>
          <w:sz w:val="28"/>
          <w:szCs w:val="28"/>
        </w:rPr>
        <w:t>谈判时间：</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01</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24</w:t>
      </w:r>
      <w:r>
        <w:rPr>
          <w:rFonts w:hint="eastAsia" w:ascii="仿宋" w:hAnsi="仿宋" w:eastAsia="仿宋" w:cs="仿宋"/>
          <w:bCs/>
          <w:color w:val="auto"/>
          <w:sz w:val="28"/>
          <w:szCs w:val="28"/>
        </w:rPr>
        <w:t>日</w:t>
      </w:r>
      <w:r>
        <w:rPr>
          <w:rFonts w:hint="eastAsia" w:ascii="仿宋" w:hAnsi="仿宋" w:eastAsia="仿宋" w:cs="仿宋"/>
          <w:b/>
          <w:color w:val="auto"/>
          <w:sz w:val="28"/>
          <w:szCs w:val="28"/>
          <w:u w:val="single"/>
        </w:rPr>
        <w:t>10:00</w:t>
      </w:r>
      <w:r>
        <w:rPr>
          <w:rFonts w:hint="eastAsia" w:ascii="仿宋" w:hAnsi="仿宋" w:eastAsia="仿宋" w:cs="仿宋"/>
          <w:bCs/>
          <w:color w:val="auto"/>
          <w:sz w:val="28"/>
          <w:szCs w:val="28"/>
        </w:rPr>
        <w:t>（北京时间）。</w:t>
      </w:r>
    </w:p>
    <w:p w14:paraId="43A21420">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响应文件必须在递交截止时间前送达谈判地点并现场递交（本次谈判不接受邮寄的响应文件），逾期送达的响应文件不予接收。</w:t>
      </w:r>
    </w:p>
    <w:p w14:paraId="7BC74ECA">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rPr>
        <w:t>九、谈判地点：</w:t>
      </w:r>
      <w:r>
        <w:rPr>
          <w:rFonts w:hint="eastAsia" w:ascii="仿宋" w:hAnsi="仿宋" w:eastAsia="仿宋" w:cs="仿宋"/>
          <w:b/>
          <w:color w:val="auto"/>
          <w:sz w:val="28"/>
          <w:szCs w:val="28"/>
          <w:u w:val="single"/>
          <w:lang w:eastAsia="zh-CN"/>
        </w:rPr>
        <w:t>重庆大正建设工程经济技术有限公司</w:t>
      </w:r>
      <w:r>
        <w:rPr>
          <w:rFonts w:hint="eastAsia" w:ascii="仿宋" w:hAnsi="仿宋" w:eastAsia="仿宋" w:cs="仿宋"/>
          <w:b/>
          <w:color w:val="auto"/>
          <w:sz w:val="28"/>
          <w:szCs w:val="28"/>
          <w:u w:val="single"/>
          <w:lang w:val="en-US" w:eastAsia="zh-CN"/>
        </w:rPr>
        <w:t>开标室</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广元市利州区万源邦泰.天誉(西区)3-3-42</w:t>
      </w:r>
      <w:r>
        <w:rPr>
          <w:rFonts w:hint="eastAsia" w:ascii="仿宋" w:hAnsi="仿宋" w:eastAsia="仿宋" w:cs="仿宋"/>
          <w:bCs/>
          <w:color w:val="auto"/>
          <w:sz w:val="28"/>
          <w:szCs w:val="28"/>
        </w:rPr>
        <w:t>）。</w:t>
      </w:r>
    </w:p>
    <w:p w14:paraId="37448099">
      <w:pPr>
        <w:pStyle w:val="77"/>
        <w:ind w:left="0" w:leftChars="0" w:firstLine="0" w:firstLineChars="0"/>
        <w:rPr>
          <w:rFonts w:ascii="仿宋" w:hAnsi="仿宋" w:eastAsia="仿宋" w:cs="仿宋"/>
          <w:b/>
          <w:color w:val="auto"/>
          <w:sz w:val="28"/>
          <w:szCs w:val="28"/>
        </w:rPr>
      </w:pPr>
      <w:r>
        <w:rPr>
          <w:rFonts w:hint="eastAsia" w:ascii="仿宋" w:hAnsi="仿宋" w:eastAsia="仿宋" w:cs="仿宋"/>
          <w:b/>
          <w:color w:val="auto"/>
          <w:sz w:val="28"/>
          <w:szCs w:val="28"/>
        </w:rPr>
        <w:t>十、联系方式</w:t>
      </w:r>
    </w:p>
    <w:p w14:paraId="4F8A2A8E">
      <w:pPr>
        <w:pStyle w:val="77"/>
        <w:ind w:left="0" w:leftChars="0" w:firstLine="0" w:firstLineChars="0"/>
        <w:rPr>
          <w:rFonts w:hint="eastAsia" w:ascii="仿宋" w:hAnsi="仿宋" w:eastAsia="仿宋" w:cs="仿宋"/>
          <w:bCs/>
          <w:color w:val="auto"/>
          <w:sz w:val="28"/>
          <w:szCs w:val="28"/>
          <w:lang w:val="en-US" w:eastAsia="zh-CN"/>
        </w:rPr>
      </w:pPr>
      <w:bookmarkStart w:id="7" w:name="_Toc217446031"/>
      <w:bookmarkStart w:id="8" w:name="_Toc213396759"/>
      <w:bookmarkStart w:id="9" w:name="_Toc213397009"/>
      <w:bookmarkStart w:id="10" w:name="_Toc509579141"/>
      <w:bookmarkStart w:id="11" w:name="_Toc213396945"/>
      <w:bookmarkStart w:id="12" w:name="_Toc213496267"/>
      <w:r>
        <w:rPr>
          <w:rFonts w:hint="eastAsia" w:ascii="仿宋" w:hAnsi="仿宋" w:eastAsia="仿宋" w:cs="仿宋"/>
          <w:bCs/>
          <w:color w:val="auto"/>
          <w:sz w:val="28"/>
          <w:szCs w:val="28"/>
        </w:rPr>
        <w:t>采购人：</w:t>
      </w:r>
      <w:r>
        <w:rPr>
          <w:rFonts w:hint="eastAsia" w:ascii="仿宋" w:hAnsi="仿宋" w:eastAsia="仿宋" w:cs="仿宋"/>
          <w:bCs/>
          <w:color w:val="auto"/>
          <w:sz w:val="28"/>
          <w:szCs w:val="28"/>
          <w:lang w:val="en-US" w:eastAsia="zh-CN"/>
        </w:rPr>
        <w:t>四川川信致远资产经营管理有限公司</w:t>
      </w:r>
    </w:p>
    <w:p w14:paraId="476B210C">
      <w:pPr>
        <w:pStyle w:val="77"/>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通讯地址：</w:t>
      </w:r>
      <w:r>
        <w:rPr>
          <w:rFonts w:hint="eastAsia" w:ascii="仿宋" w:hAnsi="仿宋" w:eastAsia="仿宋" w:cs="仿宋"/>
          <w:bCs/>
          <w:color w:val="auto"/>
          <w:sz w:val="28"/>
          <w:szCs w:val="28"/>
          <w:lang w:val="en-US" w:eastAsia="zh-CN"/>
        </w:rPr>
        <w:t>广元市利州利州区滨河北路二段广元市创业孵化园1楼</w:t>
      </w:r>
    </w:p>
    <w:p w14:paraId="5EC80225">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eastAsia="zh-CN"/>
        </w:rPr>
        <w:t>韩老师</w:t>
      </w:r>
      <w:r>
        <w:rPr>
          <w:rFonts w:hint="eastAsia" w:ascii="仿宋" w:hAnsi="仿宋" w:eastAsia="仿宋" w:cs="仿宋"/>
          <w:bCs/>
          <w:color w:val="auto"/>
          <w:sz w:val="28"/>
          <w:szCs w:val="28"/>
          <w:lang w:val="en-US" w:eastAsia="zh-CN"/>
        </w:rPr>
        <w:t xml:space="preserve"> </w:t>
      </w:r>
    </w:p>
    <w:p w14:paraId="7798D8ED">
      <w:pPr>
        <w:spacing w:line="360" w:lineRule="auto"/>
        <w:ind w:left="0" w:leftChars="0" w:firstLine="0" w:firstLineChars="0"/>
        <w:rPr>
          <w:rFonts w:hint="eastAsia" w:ascii="仿宋" w:hAnsi="仿宋" w:eastAsia="仿宋" w:cs="仿宋"/>
          <w:bCs/>
          <w:color w:val="auto"/>
          <w:sz w:val="28"/>
          <w:szCs w:val="28"/>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en-US" w:eastAsia="zh-CN"/>
        </w:rPr>
        <w:t>18011165890</w:t>
      </w:r>
    </w:p>
    <w:p w14:paraId="41A90304">
      <w:pPr>
        <w:spacing w:line="360" w:lineRule="auto"/>
        <w:ind w:left="0" w:leftChars="0" w:firstLine="0" w:firstLineChars="0"/>
        <w:rPr>
          <w:rFonts w:hint="eastAsia" w:ascii="仿宋" w:hAnsi="仿宋" w:eastAsia="仿宋" w:cs="仿宋"/>
          <w:bCs/>
          <w:color w:val="auto"/>
          <w:sz w:val="28"/>
          <w:szCs w:val="28"/>
        </w:rPr>
      </w:pPr>
    </w:p>
    <w:p w14:paraId="592DBB30">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采购代理机构：</w:t>
      </w:r>
      <w:r>
        <w:rPr>
          <w:rFonts w:hint="eastAsia" w:ascii="仿宋" w:hAnsi="仿宋" w:eastAsia="仿宋" w:cs="仿宋"/>
          <w:bCs/>
          <w:color w:val="auto"/>
          <w:sz w:val="28"/>
          <w:szCs w:val="28"/>
          <w:lang w:eastAsia="zh-CN"/>
        </w:rPr>
        <w:t>重庆大正建设工程经济技术有限公司</w:t>
      </w:r>
    </w:p>
    <w:p w14:paraId="08507F7F">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通讯地址：</w:t>
      </w:r>
      <w:r>
        <w:rPr>
          <w:rFonts w:hint="eastAsia" w:ascii="仿宋" w:hAnsi="仿宋" w:eastAsia="仿宋" w:cs="仿宋"/>
          <w:bCs/>
          <w:color w:val="auto"/>
          <w:sz w:val="28"/>
          <w:szCs w:val="28"/>
          <w:lang w:eastAsia="zh-CN"/>
        </w:rPr>
        <w:t>广元市利州区万源邦泰.天誉(西区)3-3-42</w:t>
      </w:r>
    </w:p>
    <w:p w14:paraId="33618C22">
      <w:pPr>
        <w:spacing w:line="360" w:lineRule="auto"/>
        <w:ind w:left="0" w:leftChars="0" w:firstLine="0" w:firstLineChars="0"/>
        <w:rPr>
          <w:rFonts w:ascii="仿宋" w:hAnsi="仿宋" w:eastAsia="仿宋" w:cs="仿宋"/>
          <w:bCs/>
          <w:color w:val="auto"/>
          <w:sz w:val="28"/>
          <w:szCs w:val="28"/>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val="zh-CN"/>
        </w:rPr>
        <w:t>蒲先生</w:t>
      </w:r>
    </w:p>
    <w:p w14:paraId="734D12B9">
      <w:pPr>
        <w:spacing w:line="360" w:lineRule="auto"/>
        <w:ind w:left="0" w:leftChars="0" w:firstLine="0" w:firstLineChars="0"/>
        <w:rPr>
          <w:rFonts w:ascii="仿宋" w:hAnsi="仿宋" w:eastAsia="仿宋" w:cs="仿宋"/>
          <w:bCs/>
          <w:color w:val="auto"/>
          <w:sz w:val="28"/>
          <w:szCs w:val="28"/>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zh-CN"/>
        </w:rPr>
        <w:t>15883597877</w:t>
      </w:r>
      <w:r>
        <w:rPr>
          <w:rFonts w:hint="eastAsia" w:ascii="仿宋" w:hAnsi="仿宋" w:eastAsia="仿宋" w:cs="仿宋"/>
          <w:bCs/>
          <w:color w:val="auto"/>
          <w:sz w:val="28"/>
          <w:szCs w:val="28"/>
        </w:rPr>
        <w:t xml:space="preserve">          </w:t>
      </w:r>
    </w:p>
    <w:p w14:paraId="7AFB14BA">
      <w:pPr>
        <w:spacing w:line="360" w:lineRule="auto"/>
        <w:ind w:firstLine="6160" w:firstLineChars="2200"/>
        <w:rPr>
          <w:rFonts w:ascii="仿宋" w:hAnsi="仿宋" w:eastAsia="仿宋" w:cs="仿宋"/>
          <w:bCs/>
          <w:color w:val="auto"/>
          <w:sz w:val="28"/>
          <w:szCs w:val="28"/>
        </w:rPr>
      </w:pP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eastAsia="zh-CN"/>
        </w:rPr>
        <w:t>2025</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月</w:t>
      </w:r>
    </w:p>
    <w:p w14:paraId="47113C94">
      <w:pPr>
        <w:rPr>
          <w:color w:val="auto"/>
          <w:sz w:val="28"/>
          <w:szCs w:val="36"/>
        </w:rPr>
      </w:pPr>
      <w:bookmarkStart w:id="13" w:name="_Toc41037903"/>
    </w:p>
    <w:p w14:paraId="39636963">
      <w:pPr>
        <w:pStyle w:val="38"/>
        <w:rPr>
          <w:rFonts w:ascii="仿宋" w:hAnsi="仿宋" w:eastAsia="仿宋" w:cs="Times New Roman"/>
          <w:color w:val="auto"/>
        </w:rPr>
      </w:pPr>
      <w:r>
        <w:rPr>
          <w:rFonts w:hint="eastAsia" w:ascii="仿宋" w:hAnsi="仿宋" w:eastAsia="仿宋" w:cs="仿宋"/>
          <w:color w:val="auto"/>
          <w:highlight w:val="red"/>
        </w:rPr>
        <w:br w:type="page"/>
      </w:r>
      <w:r>
        <w:rPr>
          <w:rFonts w:hint="eastAsia" w:ascii="仿宋" w:hAnsi="仿宋" w:eastAsia="仿宋" w:cs="仿宋"/>
          <w:color w:val="auto"/>
        </w:rPr>
        <w:t>第二章谈判须知</w:t>
      </w:r>
      <w:bookmarkEnd w:id="7"/>
      <w:bookmarkEnd w:id="8"/>
      <w:bookmarkEnd w:id="9"/>
      <w:bookmarkEnd w:id="10"/>
      <w:bookmarkEnd w:id="11"/>
      <w:bookmarkEnd w:id="12"/>
      <w:bookmarkEnd w:id="13"/>
    </w:p>
    <w:p w14:paraId="54594E39">
      <w:pPr>
        <w:pStyle w:val="3"/>
        <w:keepNext w:val="0"/>
        <w:keepLines w:val="0"/>
        <w:spacing w:line="240" w:lineRule="auto"/>
        <w:jc w:val="center"/>
        <w:rPr>
          <w:rFonts w:ascii="仿宋" w:hAnsi="仿宋" w:eastAsia="仿宋" w:cs="Times New Roman"/>
          <w:color w:val="auto"/>
        </w:rPr>
      </w:pPr>
      <w:r>
        <w:rPr>
          <w:rFonts w:hint="eastAsia" w:ascii="仿宋" w:hAnsi="仿宋" w:eastAsia="仿宋" w:cs="仿宋"/>
          <w:color w:val="auto"/>
        </w:rPr>
        <w:t>一、供应商竞争性谈判采购须知表</w:t>
      </w:r>
    </w:p>
    <w:tbl>
      <w:tblPr>
        <w:tblStyle w:val="4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3406BC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14:paraId="1A23FABB">
            <w:pPr>
              <w:pStyle w:val="79"/>
              <w:snapToGrid w:val="0"/>
              <w:ind w:left="9"/>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序号</w:t>
            </w:r>
          </w:p>
        </w:tc>
        <w:tc>
          <w:tcPr>
            <w:tcW w:w="2409" w:type="dxa"/>
            <w:tcBorders>
              <w:top w:val="single" w:color="auto" w:sz="18" w:space="0"/>
            </w:tcBorders>
            <w:vAlign w:val="center"/>
          </w:tcPr>
          <w:p w14:paraId="717CE7D7">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应知事项</w:t>
            </w:r>
          </w:p>
        </w:tc>
        <w:tc>
          <w:tcPr>
            <w:tcW w:w="6084" w:type="dxa"/>
            <w:tcBorders>
              <w:top w:val="single" w:color="auto" w:sz="18" w:space="0"/>
            </w:tcBorders>
            <w:vAlign w:val="center"/>
          </w:tcPr>
          <w:p w14:paraId="43F9BF23">
            <w:pPr>
              <w:pStyle w:val="79"/>
              <w:snapToGrid w:val="0"/>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说明和要求</w:t>
            </w:r>
          </w:p>
        </w:tc>
      </w:tr>
      <w:tr w14:paraId="34061B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3" w:type="dxa"/>
            <w:tcBorders>
              <w:bottom w:val="single" w:color="auto" w:sz="4" w:space="0"/>
            </w:tcBorders>
            <w:vAlign w:val="center"/>
          </w:tcPr>
          <w:p w14:paraId="2EAF3124">
            <w:pPr>
              <w:pStyle w:val="79"/>
              <w:snapToGrid w:val="0"/>
              <w:ind w:right="230"/>
              <w:jc w:val="center"/>
              <w:rPr>
                <w:rFonts w:ascii="仿宋" w:hAnsi="仿宋" w:eastAsia="仿宋" w:cs="仿宋"/>
                <w:color w:val="auto"/>
                <w:sz w:val="28"/>
                <w:szCs w:val="28"/>
                <w:lang w:val="zh-CN"/>
              </w:rPr>
            </w:pPr>
            <w:r>
              <w:rPr>
                <w:rFonts w:ascii="仿宋" w:hAnsi="仿宋" w:eastAsia="仿宋" w:cs="仿宋"/>
                <w:color w:val="auto"/>
                <w:sz w:val="28"/>
                <w:szCs w:val="28"/>
                <w:lang w:val="zh-CN"/>
              </w:rPr>
              <w:t>1</w:t>
            </w:r>
          </w:p>
        </w:tc>
        <w:tc>
          <w:tcPr>
            <w:tcW w:w="2409" w:type="dxa"/>
            <w:tcBorders>
              <w:bottom w:val="single" w:color="auto" w:sz="4" w:space="0"/>
            </w:tcBorders>
            <w:vAlign w:val="center"/>
          </w:tcPr>
          <w:p w14:paraId="103733DE">
            <w:pPr>
              <w:snapToGrid w:val="0"/>
              <w:ind w:left="38"/>
              <w:jc w:val="center"/>
              <w:rPr>
                <w:rFonts w:ascii="仿宋" w:hAnsi="仿宋" w:eastAsia="仿宋" w:cs="宋体"/>
                <w:color w:val="auto"/>
                <w:sz w:val="28"/>
                <w:szCs w:val="28"/>
                <w:lang w:val="zh-CN"/>
              </w:rPr>
            </w:pPr>
            <w:r>
              <w:rPr>
                <w:rFonts w:hint="eastAsia" w:ascii="仿宋" w:hAnsi="仿宋" w:eastAsia="仿宋" w:cs="宋体"/>
                <w:color w:val="auto"/>
                <w:sz w:val="28"/>
                <w:szCs w:val="28"/>
                <w:lang w:val="zh-CN"/>
              </w:rPr>
              <w:t>确定邀请谈判的</w:t>
            </w:r>
          </w:p>
          <w:p w14:paraId="6C09B52A">
            <w:pPr>
              <w:snapToGrid w:val="0"/>
              <w:ind w:left="38"/>
              <w:jc w:val="center"/>
              <w:rPr>
                <w:rFonts w:ascii="仿宋" w:hAnsi="仿宋" w:eastAsia="仿宋" w:cs="宋体"/>
                <w:color w:val="auto"/>
                <w:sz w:val="28"/>
                <w:szCs w:val="28"/>
              </w:rPr>
            </w:pPr>
            <w:r>
              <w:rPr>
                <w:rFonts w:hint="eastAsia" w:ascii="仿宋" w:hAnsi="仿宋" w:eastAsia="仿宋" w:cs="宋体"/>
                <w:color w:val="auto"/>
                <w:sz w:val="28"/>
                <w:szCs w:val="28"/>
                <w:lang w:val="zh-CN"/>
              </w:rPr>
              <w:t>供应商数量和方式</w:t>
            </w:r>
          </w:p>
        </w:tc>
        <w:tc>
          <w:tcPr>
            <w:tcW w:w="6084" w:type="dxa"/>
            <w:tcBorders>
              <w:bottom w:val="single" w:color="auto" w:sz="4" w:space="0"/>
            </w:tcBorders>
            <w:vAlign w:val="center"/>
          </w:tcPr>
          <w:p w14:paraId="3B486357">
            <w:pPr>
              <w:pStyle w:val="79"/>
              <w:snapToGrid w:val="0"/>
              <w:ind w:firstLine="280" w:firstLineChars="100"/>
              <w:jc w:val="both"/>
              <w:rPr>
                <w:rFonts w:ascii="仿宋" w:hAnsi="仿宋" w:eastAsia="仿宋"/>
                <w:color w:val="auto"/>
                <w:sz w:val="28"/>
                <w:szCs w:val="28"/>
                <w:lang w:val="zh-CN"/>
              </w:rPr>
            </w:pPr>
            <w:r>
              <w:rPr>
                <w:rFonts w:hint="eastAsia" w:ascii="仿宋" w:hAnsi="仿宋" w:eastAsia="仿宋"/>
                <w:color w:val="auto"/>
                <w:sz w:val="28"/>
                <w:szCs w:val="28"/>
                <w:lang w:val="zh-CN"/>
              </w:rPr>
              <w:t>本次谈判邀请的供应商数量：不小于三家</w:t>
            </w:r>
          </w:p>
          <w:p w14:paraId="5D01A4C4">
            <w:pPr>
              <w:snapToGrid w:val="0"/>
              <w:ind w:firstLine="280" w:firstLineChars="100"/>
              <w:rPr>
                <w:rFonts w:ascii="仿宋" w:hAnsi="仿宋" w:eastAsia="仿宋" w:cs="宋体"/>
                <w:color w:val="auto"/>
                <w:sz w:val="28"/>
                <w:szCs w:val="28"/>
              </w:rPr>
            </w:pPr>
            <w:r>
              <w:rPr>
                <w:rFonts w:hint="eastAsia" w:ascii="仿宋" w:hAnsi="仿宋" w:eastAsia="仿宋" w:cs="宋体"/>
                <w:color w:val="auto"/>
                <w:sz w:val="28"/>
                <w:szCs w:val="28"/>
                <w:lang w:val="zh-CN"/>
              </w:rPr>
              <w:t>本次采购采取公告的方式邀请参加谈判的供应商。</w:t>
            </w:r>
          </w:p>
        </w:tc>
      </w:tr>
      <w:tr w14:paraId="69A6A2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14:paraId="0CE67F55">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2</w:t>
            </w:r>
          </w:p>
        </w:tc>
        <w:tc>
          <w:tcPr>
            <w:tcW w:w="2409" w:type="dxa"/>
            <w:tcBorders>
              <w:top w:val="single" w:color="auto" w:sz="4" w:space="0"/>
            </w:tcBorders>
            <w:vAlign w:val="center"/>
          </w:tcPr>
          <w:p w14:paraId="0CC8C0B7">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采购预算</w:t>
            </w:r>
          </w:p>
          <w:p w14:paraId="1AF027EA">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（实质性要求）</w:t>
            </w:r>
          </w:p>
        </w:tc>
        <w:tc>
          <w:tcPr>
            <w:tcW w:w="6084" w:type="dxa"/>
            <w:tcBorders>
              <w:top w:val="single" w:color="auto" w:sz="4" w:space="0"/>
            </w:tcBorders>
          </w:tcPr>
          <w:p w14:paraId="6A8ACEDF">
            <w:pPr>
              <w:pStyle w:val="79"/>
              <w:snapToGrid w:val="0"/>
              <w:jc w:val="both"/>
              <w:rPr>
                <w:rFonts w:ascii="仿宋" w:hAnsi="仿宋" w:eastAsia="仿宋" w:cs="仿宋"/>
                <w:b/>
                <w:bCs/>
                <w:color w:val="auto"/>
                <w:sz w:val="28"/>
                <w:szCs w:val="28"/>
              </w:rPr>
            </w:pPr>
            <w:r>
              <w:rPr>
                <w:rFonts w:hint="eastAsia" w:ascii="仿宋" w:hAnsi="仿宋" w:eastAsia="仿宋" w:cs="仿宋"/>
                <w:color w:val="auto"/>
                <w:sz w:val="28"/>
                <w:szCs w:val="28"/>
              </w:rPr>
              <w:t>采购预算：</w:t>
            </w:r>
            <w:r>
              <w:rPr>
                <w:rFonts w:hint="eastAsia" w:ascii="仿宋" w:hAnsi="仿宋" w:eastAsia="仿宋" w:cs="仿宋"/>
                <w:color w:val="auto"/>
                <w:sz w:val="28"/>
                <w:szCs w:val="28"/>
                <w:lang w:val="en-US" w:eastAsia="zh-CN"/>
              </w:rPr>
              <w:t>详见第五章货物清单中单价最高限价</w:t>
            </w:r>
            <w:r>
              <w:rPr>
                <w:rFonts w:hint="eastAsia" w:ascii="仿宋" w:hAnsi="仿宋" w:eastAsia="仿宋" w:cs="仿宋"/>
                <w:b/>
                <w:bCs/>
                <w:color w:val="auto"/>
                <w:sz w:val="28"/>
                <w:szCs w:val="28"/>
              </w:rPr>
              <w:t>。</w:t>
            </w:r>
          </w:p>
          <w:p w14:paraId="1CF7FB4C">
            <w:pPr>
              <w:pStyle w:val="79"/>
              <w:snapToGrid w:val="0"/>
              <w:ind w:firstLine="280" w:firstLineChars="1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最后报价超过采购预算</w:t>
            </w:r>
            <w:r>
              <w:rPr>
                <w:rFonts w:ascii="仿宋" w:hAnsi="仿宋" w:eastAsia="仿宋" w:cs="仿宋"/>
                <w:color w:val="auto"/>
                <w:sz w:val="28"/>
                <w:szCs w:val="28"/>
                <w:lang w:val="zh-CN"/>
              </w:rPr>
              <w:t>,</w:t>
            </w:r>
            <w:r>
              <w:rPr>
                <w:rFonts w:hint="eastAsia" w:ascii="仿宋" w:hAnsi="仿宋" w:eastAsia="仿宋" w:cs="仿宋"/>
                <w:color w:val="auto"/>
                <w:sz w:val="28"/>
                <w:szCs w:val="28"/>
                <w:lang w:val="zh-CN"/>
              </w:rPr>
              <w:t>其响应文件按无效处理。</w:t>
            </w:r>
          </w:p>
        </w:tc>
      </w:tr>
      <w:tr w14:paraId="50BB93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538F5EB">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3</w:t>
            </w:r>
          </w:p>
        </w:tc>
        <w:tc>
          <w:tcPr>
            <w:tcW w:w="2409" w:type="dxa"/>
            <w:vAlign w:val="center"/>
          </w:tcPr>
          <w:p w14:paraId="772F8FB5">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最高限价</w:t>
            </w:r>
          </w:p>
          <w:p w14:paraId="54AFCF3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（实质性要求）</w:t>
            </w:r>
          </w:p>
        </w:tc>
        <w:tc>
          <w:tcPr>
            <w:tcW w:w="6084" w:type="dxa"/>
            <w:vAlign w:val="center"/>
          </w:tcPr>
          <w:p w14:paraId="669B5F3C">
            <w:pPr>
              <w:pStyle w:val="79"/>
              <w:snapToGrid w:val="0"/>
              <w:jc w:val="both"/>
              <w:rPr>
                <w:rFonts w:ascii="仿宋" w:hAnsi="仿宋" w:eastAsia="仿宋" w:cs="仿宋"/>
                <w:color w:val="auto"/>
                <w:sz w:val="28"/>
                <w:szCs w:val="28"/>
              </w:rPr>
            </w:pP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详见第五章货物清单中单价最高限价。</w:t>
            </w:r>
          </w:p>
          <w:p w14:paraId="7529B244">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最后报价超过</w:t>
            </w:r>
            <w:r>
              <w:rPr>
                <w:rFonts w:hint="eastAsia" w:ascii="仿宋" w:hAnsi="仿宋" w:eastAsia="仿宋" w:cs="仿宋"/>
                <w:color w:val="auto"/>
                <w:sz w:val="28"/>
                <w:szCs w:val="28"/>
                <w:lang w:val="en-US" w:eastAsia="zh-CN"/>
              </w:rPr>
              <w:t>最高限价</w:t>
            </w:r>
            <w:r>
              <w:rPr>
                <w:rFonts w:ascii="仿宋" w:hAnsi="仿宋" w:eastAsia="仿宋" w:cs="仿宋"/>
                <w:color w:val="auto"/>
                <w:sz w:val="28"/>
                <w:szCs w:val="28"/>
                <w:lang w:val="zh-CN"/>
              </w:rPr>
              <w:t>,</w:t>
            </w:r>
            <w:r>
              <w:rPr>
                <w:rFonts w:hint="eastAsia" w:ascii="仿宋" w:hAnsi="仿宋" w:eastAsia="仿宋" w:cs="仿宋"/>
                <w:color w:val="auto"/>
                <w:sz w:val="28"/>
                <w:szCs w:val="28"/>
                <w:lang w:val="zh-CN"/>
              </w:rPr>
              <w:t>其响应文件按无效处理。</w:t>
            </w:r>
          </w:p>
        </w:tc>
      </w:tr>
      <w:tr w14:paraId="0CBC10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14:paraId="0C5FE782">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5</w:t>
            </w:r>
          </w:p>
        </w:tc>
        <w:tc>
          <w:tcPr>
            <w:tcW w:w="2409" w:type="dxa"/>
            <w:vAlign w:val="center"/>
          </w:tcPr>
          <w:p w14:paraId="3A680497">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低于成本价</w:t>
            </w:r>
          </w:p>
          <w:p w14:paraId="6514854F">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不正当竞争预防措施</w:t>
            </w:r>
          </w:p>
          <w:p w14:paraId="0D2CB863">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（实质性要求）</w:t>
            </w:r>
          </w:p>
        </w:tc>
        <w:tc>
          <w:tcPr>
            <w:tcW w:w="6084" w:type="dxa"/>
            <w:vAlign w:val="center"/>
          </w:tcPr>
          <w:p w14:paraId="64B5D257">
            <w:pPr>
              <w:snapToGrid w:val="0"/>
              <w:ind w:left="105" w:leftChars="50" w:right="105" w:rightChars="50" w:firstLine="280" w:firstLineChars="100"/>
              <w:rPr>
                <w:rFonts w:ascii="仿宋" w:hAnsi="仿宋" w:eastAsia="仿宋"/>
                <w:color w:val="auto"/>
                <w:kern w:val="0"/>
                <w:sz w:val="28"/>
                <w:szCs w:val="28"/>
              </w:rPr>
            </w:pPr>
            <w:bookmarkStart w:id="14" w:name="PO_默认文件内容_111"/>
            <w:r>
              <w:rPr>
                <w:rFonts w:ascii="仿宋" w:hAnsi="仿宋" w:eastAsia="仿宋" w:cs="仿宋"/>
                <w:color w:val="auto"/>
                <w:kern w:val="0"/>
                <w:sz w:val="28"/>
                <w:szCs w:val="28"/>
              </w:rPr>
              <w:t>1</w:t>
            </w:r>
            <w:r>
              <w:rPr>
                <w:rFonts w:hint="eastAsia" w:ascii="仿宋" w:hAnsi="仿宋" w:eastAsia="仿宋" w:cs="仿宋"/>
                <w:color w:val="auto"/>
                <w:kern w:val="0"/>
                <w:sz w:val="28"/>
                <w:szCs w:val="28"/>
              </w:rPr>
              <w:t>、供应商报价低于采购预算50</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或者低于其他有效供应商报价算术平均价40</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4"/>
          </w:p>
          <w:p w14:paraId="15F92954">
            <w:pPr>
              <w:snapToGrid w:val="0"/>
              <w:ind w:left="105" w:leftChars="50" w:right="105" w:rightChars="50" w:firstLine="280" w:firstLineChars="100"/>
              <w:rPr>
                <w:rFonts w:ascii="仿宋" w:hAnsi="仿宋" w:eastAsia="仿宋"/>
                <w:color w:val="auto"/>
                <w:kern w:val="0"/>
                <w:sz w:val="28"/>
                <w:szCs w:val="28"/>
              </w:rPr>
            </w:pPr>
            <w:r>
              <w:rPr>
                <w:rFonts w:ascii="仿宋" w:hAnsi="仿宋" w:eastAsia="仿宋" w:cs="仿宋"/>
                <w:color w:val="auto"/>
                <w:kern w:val="0"/>
                <w:sz w:val="28"/>
                <w:szCs w:val="28"/>
              </w:rPr>
              <w:t>2</w:t>
            </w:r>
            <w:r>
              <w:rPr>
                <w:rFonts w:hint="eastAsia" w:ascii="仿宋" w:hAnsi="仿宋" w:eastAsia="仿宋" w:cs="仿宋"/>
                <w:color w:val="auto"/>
                <w:kern w:val="0"/>
                <w:sz w:val="28"/>
                <w:szCs w:val="28"/>
              </w:rPr>
              <w:t>、供应商书面说明应当签字确认或者加盖公章，否则无效。书面说明应由其法定代表人</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主要负责人或者其授权代表签字确认。</w:t>
            </w:r>
          </w:p>
          <w:p w14:paraId="5330FABC">
            <w:pPr>
              <w:snapToGrid w:val="0"/>
              <w:ind w:left="105" w:leftChars="50" w:right="105" w:rightChars="50" w:firstLine="280" w:firstLineChars="100"/>
              <w:rPr>
                <w:rFonts w:ascii="仿宋" w:hAnsi="仿宋" w:eastAsia="仿宋"/>
                <w:color w:val="auto"/>
                <w:sz w:val="28"/>
                <w:szCs w:val="28"/>
              </w:rPr>
            </w:pPr>
            <w:r>
              <w:rPr>
                <w:rFonts w:ascii="仿宋" w:hAnsi="仿宋" w:eastAsia="仿宋" w:cs="仿宋"/>
                <w:color w:val="auto"/>
                <w:kern w:val="0"/>
                <w:sz w:val="28"/>
                <w:szCs w:val="28"/>
              </w:rPr>
              <w:t>3</w:t>
            </w:r>
            <w:r>
              <w:rPr>
                <w:rFonts w:hint="eastAsia" w:ascii="仿宋" w:hAnsi="仿宋" w:eastAsia="仿宋" w:cs="仿宋"/>
                <w:color w:val="auto"/>
                <w:kern w:val="0"/>
                <w:sz w:val="28"/>
                <w:szCs w:val="28"/>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723491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6D61B80">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6</w:t>
            </w:r>
          </w:p>
          <w:p w14:paraId="316DA6FB">
            <w:pPr>
              <w:pStyle w:val="79"/>
              <w:snapToGrid w:val="0"/>
              <w:ind w:right="230"/>
              <w:rPr>
                <w:rFonts w:ascii="仿宋" w:hAnsi="仿宋" w:eastAsia="仿宋" w:cs="Times New Roman"/>
                <w:color w:val="auto"/>
                <w:sz w:val="28"/>
                <w:szCs w:val="28"/>
                <w:lang w:val="zh-CN"/>
              </w:rPr>
            </w:pPr>
          </w:p>
        </w:tc>
        <w:tc>
          <w:tcPr>
            <w:tcW w:w="2409" w:type="dxa"/>
            <w:vAlign w:val="center"/>
          </w:tcPr>
          <w:p w14:paraId="33B1C5AB">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小微企业（监狱企业、残疾人福利性单位视同小微企业）价格扣除和</w:t>
            </w:r>
          </w:p>
          <w:p w14:paraId="52F3799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失信企业报价加成</w:t>
            </w:r>
          </w:p>
          <w:p w14:paraId="5FA27D0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或者扣分</w:t>
            </w:r>
          </w:p>
          <w:p w14:paraId="7503CC94">
            <w:pPr>
              <w:pStyle w:val="79"/>
              <w:snapToGrid w:val="0"/>
              <w:ind w:left="38"/>
              <w:jc w:val="center"/>
              <w:rPr>
                <w:rFonts w:ascii="仿宋" w:hAnsi="仿宋" w:eastAsia="仿宋" w:cs="Times New Roman"/>
                <w:color w:val="auto"/>
                <w:sz w:val="28"/>
                <w:szCs w:val="28"/>
                <w:lang w:val="zh-CN"/>
              </w:rPr>
            </w:pPr>
          </w:p>
        </w:tc>
        <w:tc>
          <w:tcPr>
            <w:tcW w:w="6084" w:type="dxa"/>
          </w:tcPr>
          <w:p w14:paraId="01A30DBB">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一、小微企业（监狱企业、残疾人福利性单位视同小微企业）价格扣除</w:t>
            </w:r>
          </w:p>
          <w:p w14:paraId="4557039B">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1.根据《政府采购促进中小企业发展管理办法》（财库﹝2020﹞46号）的规定，对小型和微型企业产品的价格给予10%的价格扣除，用扣除后的价格参与评审。</w:t>
            </w:r>
          </w:p>
          <w:p w14:paraId="4A3AC272">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2.参加政府采购活动的中小企业应当提供《中小企业声明函》原件。监狱企业应当提供《监狱企业证明》原件。残疾人福利性单位应当提供《残疾人福利性单位声明函》原件。</w:t>
            </w:r>
          </w:p>
          <w:p w14:paraId="39E786EF">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14:paraId="6D9319B0">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 xml:space="preserve">  联合体各方均为小型、微型企业的，联合体视同为小型、微型企业享受规定的扶持政策。组成联合体的大中型企业和其他自然人、法人或者其他组织，与小型、微型企业之间不得存在投资关系。</w:t>
            </w:r>
          </w:p>
          <w:p w14:paraId="4E8D46FD">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二、失信企业报价加成或者扣分</w:t>
            </w:r>
          </w:p>
          <w:p w14:paraId="2EC3E291">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14:paraId="009558ED">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2.供应商参加政府采购活动时，应当就自己的诚信情况在响应文件中进行承诺。</w:t>
            </w:r>
          </w:p>
        </w:tc>
      </w:tr>
      <w:tr w14:paraId="00967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8A28B6B">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7</w:t>
            </w:r>
          </w:p>
        </w:tc>
        <w:tc>
          <w:tcPr>
            <w:tcW w:w="2409" w:type="dxa"/>
            <w:vAlign w:val="center"/>
          </w:tcPr>
          <w:p w14:paraId="1E9DDAA8">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kern w:val="2"/>
                <w:sz w:val="28"/>
                <w:szCs w:val="28"/>
              </w:rPr>
              <w:t>节能、环保及无线局域网产品政府采购政策</w:t>
            </w:r>
          </w:p>
        </w:tc>
        <w:tc>
          <w:tcPr>
            <w:tcW w:w="6084" w:type="dxa"/>
            <w:vAlign w:val="center"/>
          </w:tcPr>
          <w:p w14:paraId="70725149">
            <w:pPr>
              <w:snapToGrid w:val="0"/>
              <w:ind w:right="105" w:rightChars="50"/>
              <w:rPr>
                <w:rFonts w:ascii="仿宋" w:hAnsi="仿宋" w:eastAsia="仿宋"/>
                <w:b/>
                <w:bCs/>
                <w:color w:val="auto"/>
                <w:sz w:val="28"/>
                <w:szCs w:val="28"/>
              </w:rPr>
            </w:pPr>
            <w:r>
              <w:rPr>
                <w:rFonts w:hint="eastAsia" w:ascii="仿宋" w:hAnsi="仿宋" w:eastAsia="仿宋" w:cs="仿宋"/>
                <w:b/>
                <w:bCs/>
                <w:color w:val="auto"/>
                <w:sz w:val="28"/>
                <w:szCs w:val="28"/>
              </w:rPr>
              <w:t>一、节能、环保产品政府采购政策：</w:t>
            </w:r>
          </w:p>
          <w:p w14:paraId="37BB83F9">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根据《财政部发展改革委生态环境部市场监管总局关于调整优化节能产品、环境标志产品政府采购执行机制的通知》（财库〔</w:t>
            </w:r>
            <w:r>
              <w:rPr>
                <w:rFonts w:ascii="仿宋" w:hAnsi="仿宋" w:eastAsia="仿宋" w:cs="仿宋"/>
                <w:color w:val="auto"/>
                <w:sz w:val="28"/>
                <w:szCs w:val="28"/>
              </w:rPr>
              <w:t>2019</w:t>
            </w:r>
            <w:r>
              <w:rPr>
                <w:rFonts w:hint="eastAsia" w:ascii="仿宋" w:hAnsi="仿宋" w:eastAsia="仿宋" w:cs="仿宋"/>
                <w:color w:val="auto"/>
                <w:sz w:val="28"/>
                <w:szCs w:val="28"/>
              </w:rPr>
              <w:t>〕</w:t>
            </w:r>
            <w:r>
              <w:rPr>
                <w:rFonts w:ascii="仿宋" w:hAnsi="仿宋" w:eastAsia="仿宋" w:cs="仿宋"/>
                <w:color w:val="auto"/>
                <w:sz w:val="28"/>
                <w:szCs w:val="28"/>
              </w:rPr>
              <w:t>9</w:t>
            </w:r>
            <w:r>
              <w:rPr>
                <w:rFonts w:hint="eastAsia" w:ascii="仿宋" w:hAnsi="仿宋" w:eastAsia="仿宋" w:cs="仿宋"/>
                <w:color w:val="auto"/>
                <w:sz w:val="28"/>
                <w:szCs w:val="28"/>
              </w:rPr>
              <w:t>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14:paraId="0A29CF27">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w:t>
            </w:r>
            <w:r>
              <w:rPr>
                <w:rFonts w:hint="eastAsia" w:ascii="仿宋" w:hAnsi="仿宋" w:eastAsia="仿宋" w:cs="仿宋"/>
                <w:b/>
                <w:bCs/>
                <w:color w:val="auto"/>
                <w:sz w:val="28"/>
                <w:szCs w:val="28"/>
              </w:rPr>
              <w:t>（实质性要求）</w:t>
            </w:r>
          </w:p>
          <w:p w14:paraId="269F6499">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本项目采购的产品属于品目清单优先采购范围的，对获得证书的产品实施政府优先采购。</w:t>
            </w:r>
          </w:p>
          <w:p w14:paraId="201CE256">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注：对政府采购节能产品、环境标志产品实施品目清单管理。财政部、发展改革委、生态环境部等部门确定实施政府优先采购和强制采购的产品类别，以品目清单的形式发布并适时调整。</w:t>
            </w:r>
          </w:p>
          <w:p w14:paraId="2291DDA5">
            <w:pPr>
              <w:snapToGrid w:val="0"/>
              <w:ind w:right="105" w:rightChars="50"/>
              <w:rPr>
                <w:rFonts w:ascii="仿宋" w:hAnsi="仿宋" w:eastAsia="仿宋"/>
                <w:b/>
                <w:bCs/>
                <w:color w:val="auto"/>
                <w:sz w:val="28"/>
                <w:szCs w:val="28"/>
              </w:rPr>
            </w:pPr>
            <w:r>
              <w:rPr>
                <w:rFonts w:hint="eastAsia" w:ascii="仿宋" w:hAnsi="仿宋" w:eastAsia="仿宋" w:cs="仿宋"/>
                <w:b/>
                <w:bCs/>
                <w:color w:val="auto"/>
                <w:sz w:val="28"/>
                <w:szCs w:val="28"/>
              </w:rPr>
              <w:t>二、无线局域网产品政府采购政策：</w:t>
            </w:r>
          </w:p>
          <w:p w14:paraId="38E5C06C">
            <w:pPr>
              <w:snapToGrid w:val="0"/>
              <w:ind w:right="105" w:rightChars="50"/>
              <w:rPr>
                <w:rFonts w:ascii="仿宋" w:hAnsi="仿宋" w:eastAsia="仿宋"/>
                <w:color w:val="auto"/>
                <w:sz w:val="28"/>
                <w:szCs w:val="28"/>
                <w:lang w:val="zh-CN"/>
              </w:rPr>
            </w:pPr>
            <w:r>
              <w:rPr>
                <w:rFonts w:hint="eastAsia" w:ascii="仿宋" w:hAnsi="仿宋" w:eastAsia="仿宋" w:cs="仿宋"/>
                <w:color w:val="auto"/>
                <w:sz w:val="28"/>
                <w:szCs w:val="28"/>
              </w:rPr>
              <w:t>本项目采购的产品属于中国政府采购网公布的《无线局域网认证产品政府采购清单》且在有效期内的</w:t>
            </w:r>
            <w:r>
              <w:rPr>
                <w:rFonts w:ascii="仿宋" w:hAnsi="仿宋" w:eastAsia="仿宋" w:cs="仿宋"/>
                <w:color w:val="auto"/>
                <w:sz w:val="28"/>
                <w:szCs w:val="28"/>
              </w:rPr>
              <w:t>,</w:t>
            </w:r>
            <w:r>
              <w:rPr>
                <w:rFonts w:hint="eastAsia" w:ascii="仿宋" w:hAnsi="仿宋" w:eastAsia="仿宋" w:cs="仿宋"/>
                <w:color w:val="auto"/>
                <w:kern w:val="0"/>
                <w:sz w:val="28"/>
                <w:szCs w:val="28"/>
              </w:rPr>
              <w:t>供应商在响应文件中可提供该产品政府采购清单对应页并加盖供应商单位公章（鲜章）</w:t>
            </w:r>
            <w:r>
              <w:rPr>
                <w:rFonts w:hint="eastAsia" w:ascii="仿宋" w:hAnsi="仿宋" w:eastAsia="仿宋" w:cs="仿宋"/>
                <w:color w:val="auto"/>
                <w:sz w:val="28"/>
                <w:szCs w:val="28"/>
              </w:rPr>
              <w:t>。</w:t>
            </w:r>
          </w:p>
        </w:tc>
      </w:tr>
      <w:tr w14:paraId="67100D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EB8CB9F">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8</w:t>
            </w:r>
          </w:p>
        </w:tc>
        <w:tc>
          <w:tcPr>
            <w:tcW w:w="2409" w:type="dxa"/>
            <w:vAlign w:val="center"/>
          </w:tcPr>
          <w:p w14:paraId="7B0CCFD6">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谈判情况公告</w:t>
            </w:r>
          </w:p>
        </w:tc>
        <w:tc>
          <w:tcPr>
            <w:tcW w:w="6084" w:type="dxa"/>
            <w:vAlign w:val="center"/>
          </w:tcPr>
          <w:p w14:paraId="584340DA">
            <w:pPr>
              <w:pStyle w:val="79"/>
              <w:snapToGrid w:val="0"/>
              <w:ind w:firstLine="280" w:firstLineChars="100"/>
              <w:jc w:val="both"/>
              <w:rPr>
                <w:rFonts w:ascii="仿宋" w:hAnsi="仿宋" w:eastAsia="仿宋" w:cs="Times New Roman"/>
                <w:color w:val="auto"/>
                <w:sz w:val="28"/>
                <w:szCs w:val="28"/>
                <w:lang w:val="zh-CN"/>
              </w:rPr>
            </w:pPr>
            <w:bookmarkStart w:id="15" w:name="PO_默认文件内容_15"/>
            <w:r>
              <w:rPr>
                <w:rFonts w:hint="eastAsia" w:ascii="仿宋" w:hAnsi="仿宋" w:eastAsia="仿宋" w:cs="仿宋"/>
                <w:color w:val="auto"/>
                <w:sz w:val="28"/>
                <w:szCs w:val="28"/>
              </w:rPr>
              <w:t>谈判结果等将</w:t>
            </w:r>
            <w:bookmarkEnd w:id="15"/>
            <w:r>
              <w:rPr>
                <w:rFonts w:hint="eastAsia" w:ascii="仿宋" w:hAnsi="仿宋" w:eastAsia="仿宋" w:cs="仿宋"/>
                <w:color w:val="auto"/>
                <w:sz w:val="28"/>
                <w:szCs w:val="28"/>
                <w:lang w:val="en-US" w:eastAsia="zh-CN"/>
              </w:rPr>
              <w:t>在</w:t>
            </w:r>
            <w:r>
              <w:rPr>
                <w:rFonts w:hint="eastAsia" w:ascii="仿宋" w:hAnsi="仿宋" w:eastAsia="仿宋" w:cs="仿宋"/>
                <w:bCs/>
                <w:color w:val="auto"/>
                <w:sz w:val="28"/>
                <w:szCs w:val="28"/>
                <w:lang w:eastAsia="zh-CN"/>
              </w:rPr>
              <w:t>四川川信致远资产经营管理有限公司官网</w:t>
            </w:r>
            <w:r>
              <w:rPr>
                <w:rFonts w:hint="eastAsia" w:ascii="仿宋" w:hAnsi="仿宋" w:eastAsia="仿宋" w:cs="仿宋"/>
                <w:bCs/>
                <w:color w:val="auto"/>
                <w:sz w:val="28"/>
                <w:szCs w:val="28"/>
                <w:lang w:val="en-US" w:eastAsia="zh-CN"/>
              </w:rPr>
              <w:t>和采购招标网（https://www.chinabidding.cc/）</w:t>
            </w:r>
            <w:r>
              <w:rPr>
                <w:rFonts w:hint="eastAsia" w:ascii="仿宋" w:hAnsi="仿宋" w:eastAsia="仿宋" w:cs="仿宋"/>
                <w:color w:val="auto"/>
                <w:sz w:val="28"/>
                <w:szCs w:val="28"/>
                <w:lang w:val="zh-CN"/>
              </w:rPr>
              <w:t>上予以公告。</w:t>
            </w:r>
          </w:p>
        </w:tc>
      </w:tr>
      <w:tr w14:paraId="1CD29B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128AAA4">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 xml:space="preserve">9 </w:t>
            </w:r>
          </w:p>
        </w:tc>
        <w:tc>
          <w:tcPr>
            <w:tcW w:w="2409" w:type="dxa"/>
            <w:vAlign w:val="center"/>
          </w:tcPr>
          <w:p w14:paraId="77F236DD">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rPr>
              <w:t>谈判</w:t>
            </w:r>
            <w:r>
              <w:rPr>
                <w:rFonts w:hint="eastAsia" w:ascii="仿宋" w:hAnsi="仿宋" w:eastAsia="仿宋" w:cs="仿宋"/>
                <w:color w:val="auto"/>
                <w:sz w:val="28"/>
                <w:szCs w:val="28"/>
                <w:lang w:val="zh-CN"/>
              </w:rPr>
              <w:t>保证金</w:t>
            </w:r>
          </w:p>
        </w:tc>
        <w:tc>
          <w:tcPr>
            <w:tcW w:w="6084" w:type="dxa"/>
            <w:vAlign w:val="center"/>
          </w:tcPr>
          <w:p w14:paraId="0F518605">
            <w:pPr>
              <w:pStyle w:val="79"/>
              <w:snapToGrid w:val="0"/>
              <w:ind w:firstLine="280" w:firstLineChars="100"/>
              <w:jc w:val="both"/>
              <w:rPr>
                <w:rFonts w:ascii="仿宋" w:hAnsi="仿宋" w:eastAsia="仿宋" w:cs="Times New Roman"/>
                <w:color w:val="auto"/>
                <w:sz w:val="28"/>
                <w:szCs w:val="28"/>
              </w:rPr>
            </w:pPr>
            <w:r>
              <w:rPr>
                <w:rFonts w:hint="eastAsia" w:ascii="仿宋" w:hAnsi="仿宋" w:eastAsia="仿宋" w:cs="Times New Roman"/>
                <w:color w:val="auto"/>
                <w:sz w:val="28"/>
                <w:szCs w:val="28"/>
                <w:lang w:val="en-US" w:eastAsia="zh-CN"/>
              </w:rPr>
              <w:t>本项目</w:t>
            </w:r>
            <w:r>
              <w:rPr>
                <w:rFonts w:hint="eastAsia" w:ascii="仿宋" w:hAnsi="仿宋" w:eastAsia="仿宋" w:cs="Times New Roman"/>
                <w:color w:val="auto"/>
                <w:sz w:val="28"/>
                <w:szCs w:val="28"/>
              </w:rPr>
              <w:t>不收取谈判保证金。</w:t>
            </w:r>
          </w:p>
        </w:tc>
      </w:tr>
      <w:tr w14:paraId="313695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ED17095">
            <w:pPr>
              <w:pStyle w:val="79"/>
              <w:snapToGrid w:val="0"/>
              <w:ind w:right="230"/>
              <w:jc w:val="center"/>
              <w:rPr>
                <w:rFonts w:ascii="仿宋" w:hAnsi="仿宋" w:eastAsia="仿宋" w:cs="Times New Roman"/>
                <w:color w:val="auto"/>
                <w:sz w:val="28"/>
                <w:szCs w:val="28"/>
              </w:rPr>
            </w:pPr>
            <w:r>
              <w:rPr>
                <w:rFonts w:hint="eastAsia" w:ascii="仿宋" w:hAnsi="仿宋" w:eastAsia="仿宋" w:cs="仿宋"/>
                <w:color w:val="auto"/>
                <w:sz w:val="28"/>
                <w:szCs w:val="28"/>
              </w:rPr>
              <w:t>10</w:t>
            </w:r>
          </w:p>
        </w:tc>
        <w:tc>
          <w:tcPr>
            <w:tcW w:w="2409" w:type="dxa"/>
            <w:vAlign w:val="center"/>
          </w:tcPr>
          <w:p w14:paraId="085D8BE1">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履约保证金</w:t>
            </w:r>
          </w:p>
        </w:tc>
        <w:tc>
          <w:tcPr>
            <w:tcW w:w="6084" w:type="dxa"/>
            <w:vAlign w:val="center"/>
          </w:tcPr>
          <w:p w14:paraId="072B6854">
            <w:pPr>
              <w:pStyle w:val="79"/>
              <w:snapToGrid w:val="0"/>
              <w:ind w:firstLine="280" w:firstLineChars="100"/>
              <w:jc w:val="both"/>
              <w:rPr>
                <w:rFonts w:ascii="仿宋" w:hAnsi="仿宋" w:eastAsia="仿宋" w:cs="Times New Roman"/>
                <w:color w:val="auto"/>
                <w:sz w:val="28"/>
                <w:szCs w:val="28"/>
              </w:rPr>
            </w:pPr>
            <w:r>
              <w:rPr>
                <w:rFonts w:hint="eastAsia" w:ascii="仿宋" w:hAnsi="仿宋" w:eastAsia="仿宋" w:cs="Times New Roman"/>
                <w:color w:val="auto"/>
                <w:sz w:val="28"/>
                <w:szCs w:val="28"/>
                <w:lang w:val="en-US" w:eastAsia="zh-CN"/>
              </w:rPr>
              <w:t>本项目</w:t>
            </w:r>
            <w:r>
              <w:rPr>
                <w:rFonts w:hint="eastAsia" w:ascii="仿宋" w:hAnsi="仿宋" w:eastAsia="仿宋" w:cs="Times New Roman"/>
                <w:color w:val="auto"/>
                <w:sz w:val="28"/>
                <w:szCs w:val="28"/>
              </w:rPr>
              <w:t>不收取履约保证金。</w:t>
            </w:r>
          </w:p>
        </w:tc>
      </w:tr>
      <w:tr w14:paraId="29337B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9A1A251">
            <w:pPr>
              <w:pStyle w:val="79"/>
              <w:snapToGrid w:val="0"/>
              <w:ind w:right="230"/>
              <w:jc w:val="center"/>
              <w:rPr>
                <w:rFonts w:ascii="仿宋" w:hAnsi="仿宋" w:eastAsia="仿宋" w:cs="Times New Roman"/>
                <w:color w:val="auto"/>
                <w:sz w:val="28"/>
                <w:szCs w:val="28"/>
              </w:rPr>
            </w:pPr>
            <w:r>
              <w:rPr>
                <w:rFonts w:hint="eastAsia" w:ascii="仿宋" w:hAnsi="仿宋" w:eastAsia="仿宋" w:cs="仿宋"/>
                <w:color w:val="auto"/>
                <w:sz w:val="28"/>
                <w:szCs w:val="28"/>
              </w:rPr>
              <w:t>11</w:t>
            </w:r>
          </w:p>
        </w:tc>
        <w:tc>
          <w:tcPr>
            <w:tcW w:w="2409" w:type="dxa"/>
            <w:vAlign w:val="center"/>
          </w:tcPr>
          <w:p w14:paraId="2AE34DC8">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rPr>
              <w:t>谈判</w:t>
            </w:r>
            <w:r>
              <w:rPr>
                <w:rFonts w:hint="eastAsia" w:ascii="仿宋" w:hAnsi="仿宋" w:eastAsia="仿宋" w:cs="仿宋"/>
                <w:color w:val="auto"/>
                <w:sz w:val="28"/>
                <w:szCs w:val="28"/>
                <w:lang w:val="zh-CN"/>
              </w:rPr>
              <w:t>文件咨询</w:t>
            </w:r>
          </w:p>
        </w:tc>
        <w:tc>
          <w:tcPr>
            <w:tcW w:w="6084" w:type="dxa"/>
            <w:vAlign w:val="center"/>
          </w:tcPr>
          <w:p w14:paraId="2609A948">
            <w:pPr>
              <w:pStyle w:val="79"/>
              <w:snapToGrid w:val="0"/>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采购代理机构:</w:t>
            </w:r>
            <w:r>
              <w:rPr>
                <w:rFonts w:hint="eastAsia" w:ascii="仿宋" w:hAnsi="仿宋" w:eastAsia="仿宋" w:cs="仿宋"/>
                <w:color w:val="auto"/>
                <w:sz w:val="28"/>
                <w:szCs w:val="28"/>
                <w:lang w:eastAsia="zh-CN"/>
              </w:rPr>
              <w:t>蒲先生</w:t>
            </w:r>
          </w:p>
          <w:p w14:paraId="657388C6">
            <w:pPr>
              <w:pStyle w:val="79"/>
              <w:snapToGrid w:val="0"/>
              <w:ind w:firstLine="280" w:firstLineChars="100"/>
              <w:jc w:val="both"/>
              <w:rPr>
                <w:rFonts w:hint="eastAsia" w:ascii="仿宋" w:hAnsi="仿宋" w:eastAsia="仿宋" w:cs="Times New Roman"/>
                <w:color w:val="auto"/>
                <w:sz w:val="28"/>
                <w:szCs w:val="28"/>
                <w:lang w:val="zh-CN"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eastAsia="zh-CN"/>
              </w:rPr>
              <w:t>15883597877</w:t>
            </w:r>
          </w:p>
        </w:tc>
      </w:tr>
      <w:tr w14:paraId="4AC63E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4BC721A">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1</w:t>
            </w:r>
            <w:r>
              <w:rPr>
                <w:rFonts w:hint="eastAsia" w:ascii="仿宋" w:hAnsi="仿宋" w:eastAsia="仿宋" w:cs="仿宋"/>
                <w:color w:val="auto"/>
                <w:sz w:val="28"/>
                <w:szCs w:val="28"/>
              </w:rPr>
              <w:t>2</w:t>
            </w:r>
          </w:p>
        </w:tc>
        <w:tc>
          <w:tcPr>
            <w:tcW w:w="2409" w:type="dxa"/>
            <w:vAlign w:val="center"/>
          </w:tcPr>
          <w:p w14:paraId="04B712F5">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谈判过程、结果咨询</w:t>
            </w:r>
          </w:p>
        </w:tc>
        <w:tc>
          <w:tcPr>
            <w:tcW w:w="6084" w:type="dxa"/>
            <w:vAlign w:val="center"/>
          </w:tcPr>
          <w:p w14:paraId="663A7457">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联系人：蒲先生。</w:t>
            </w:r>
          </w:p>
          <w:p w14:paraId="66CD21AD">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联系电话：15883597877。</w:t>
            </w:r>
          </w:p>
        </w:tc>
      </w:tr>
      <w:tr w14:paraId="092D95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5015BC8">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1</w:t>
            </w:r>
            <w:r>
              <w:rPr>
                <w:rFonts w:hint="eastAsia" w:ascii="仿宋" w:hAnsi="仿宋" w:eastAsia="仿宋" w:cs="仿宋"/>
                <w:color w:val="auto"/>
                <w:sz w:val="28"/>
                <w:szCs w:val="28"/>
              </w:rPr>
              <w:t>3</w:t>
            </w:r>
          </w:p>
        </w:tc>
        <w:tc>
          <w:tcPr>
            <w:tcW w:w="2409" w:type="dxa"/>
            <w:vAlign w:val="center"/>
          </w:tcPr>
          <w:p w14:paraId="55D65EFF">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成交通知书领取</w:t>
            </w:r>
          </w:p>
        </w:tc>
        <w:tc>
          <w:tcPr>
            <w:tcW w:w="6084" w:type="dxa"/>
            <w:vAlign w:val="center"/>
          </w:tcPr>
          <w:p w14:paraId="62642A09">
            <w:pPr>
              <w:pStyle w:val="79"/>
              <w:snapToGrid w:val="0"/>
              <w:ind w:left="71" w:leftChars="34"/>
              <w:rPr>
                <w:rFonts w:ascii="仿宋" w:hAnsi="仿宋" w:eastAsia="仿宋" w:cs="Times New Roman"/>
                <w:color w:val="auto"/>
                <w:sz w:val="28"/>
                <w:szCs w:val="28"/>
                <w:lang w:val="zh-CN"/>
              </w:rPr>
            </w:pPr>
            <w:r>
              <w:rPr>
                <w:rFonts w:hint="eastAsia" w:ascii="仿宋" w:hAnsi="仿宋" w:eastAsia="仿宋" w:cs="仿宋"/>
                <w:color w:val="auto"/>
                <w:sz w:val="28"/>
                <w:szCs w:val="28"/>
              </w:rPr>
              <w:t>请成交供应商凭有效身份证明证件到</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rPr>
              <w:t>领取成交通知书。</w:t>
            </w:r>
          </w:p>
        </w:tc>
      </w:tr>
      <w:tr w14:paraId="6AB354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7811C7D">
            <w:pPr>
              <w:pStyle w:val="79"/>
              <w:snapToGrid w:val="0"/>
              <w:ind w:right="23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p>
        </w:tc>
        <w:tc>
          <w:tcPr>
            <w:tcW w:w="2409" w:type="dxa"/>
            <w:vAlign w:val="center"/>
          </w:tcPr>
          <w:p w14:paraId="4146EDC5">
            <w:pPr>
              <w:pStyle w:val="79"/>
              <w:snapToGrid w:val="0"/>
              <w:ind w:left="38"/>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进口产品</w:t>
            </w:r>
            <w:r>
              <w:rPr>
                <w:rFonts w:hint="eastAsia" w:ascii="仿宋" w:hAnsi="仿宋" w:eastAsia="仿宋" w:cs="仿宋"/>
                <w:color w:val="auto"/>
                <w:sz w:val="28"/>
                <w:szCs w:val="28"/>
              </w:rPr>
              <w:t>（实质性要求）</w:t>
            </w:r>
          </w:p>
        </w:tc>
        <w:tc>
          <w:tcPr>
            <w:tcW w:w="6084" w:type="dxa"/>
            <w:vAlign w:val="center"/>
          </w:tcPr>
          <w:p w14:paraId="0CAD9A17">
            <w:pPr>
              <w:pStyle w:val="79"/>
              <w:snapToGrid w:val="0"/>
              <w:ind w:left="71" w:leftChars="34"/>
              <w:rPr>
                <w:rFonts w:hint="eastAsia" w:ascii="仿宋" w:hAnsi="仿宋" w:eastAsia="仿宋" w:cs="仿宋"/>
                <w:color w:val="auto"/>
                <w:sz w:val="28"/>
                <w:szCs w:val="28"/>
              </w:rPr>
            </w:pPr>
            <w:r>
              <w:rPr>
                <w:rFonts w:hint="eastAsia" w:ascii="仿宋" w:hAnsi="仿宋" w:eastAsia="仿宋" w:cs="仿宋"/>
                <w:color w:val="auto"/>
                <w:sz w:val="28"/>
                <w:szCs w:val="28"/>
              </w:rPr>
              <w:t>不允许</w:t>
            </w:r>
          </w:p>
        </w:tc>
      </w:tr>
      <w:tr w14:paraId="2F2EDE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0371CA4">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5</w:t>
            </w:r>
          </w:p>
        </w:tc>
        <w:tc>
          <w:tcPr>
            <w:tcW w:w="2409" w:type="dxa"/>
            <w:vAlign w:val="center"/>
          </w:tcPr>
          <w:p w14:paraId="50B2F1F0">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供应商询问</w:t>
            </w:r>
          </w:p>
        </w:tc>
        <w:tc>
          <w:tcPr>
            <w:tcW w:w="6084" w:type="dxa"/>
          </w:tcPr>
          <w:p w14:paraId="75502C7E">
            <w:pPr>
              <w:pStyle w:val="79"/>
              <w:snapToGrid w:val="0"/>
              <w:ind w:left="774" w:leftChars="102" w:hanging="560" w:hangingChars="2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联系人：蒲先生。</w:t>
            </w:r>
          </w:p>
          <w:p w14:paraId="47FFD4D3">
            <w:pPr>
              <w:pStyle w:val="79"/>
              <w:snapToGrid w:val="0"/>
              <w:ind w:firstLine="280" w:firstLineChars="100"/>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联系电话：15883597877。</w:t>
            </w:r>
          </w:p>
        </w:tc>
      </w:tr>
      <w:tr w14:paraId="30FC0D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A80A3AB">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6</w:t>
            </w:r>
          </w:p>
        </w:tc>
        <w:tc>
          <w:tcPr>
            <w:tcW w:w="2409" w:type="dxa"/>
            <w:vAlign w:val="center"/>
          </w:tcPr>
          <w:p w14:paraId="09B750CF">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供应商质疑</w:t>
            </w:r>
          </w:p>
        </w:tc>
        <w:tc>
          <w:tcPr>
            <w:tcW w:w="6084" w:type="dxa"/>
            <w:vAlign w:val="center"/>
          </w:tcPr>
          <w:p w14:paraId="07883E70">
            <w:pPr>
              <w:pStyle w:val="79"/>
              <w:snapToGrid w:val="0"/>
              <w:ind w:left="10" w:leftChars="5" w:firstLine="518" w:firstLineChars="185"/>
              <w:jc w:val="both"/>
              <w:rPr>
                <w:rFonts w:ascii="仿宋" w:hAnsi="仿宋" w:eastAsia="仿宋" w:cs="仿宋"/>
                <w:color w:val="auto"/>
                <w:sz w:val="28"/>
                <w:szCs w:val="28"/>
                <w:lang w:val="zh-CN"/>
              </w:rPr>
            </w:pPr>
            <w:r>
              <w:rPr>
                <w:rFonts w:hint="eastAsia" w:ascii="仿宋" w:hAnsi="仿宋" w:eastAsia="仿宋" w:cs="仿宋"/>
                <w:color w:val="auto"/>
                <w:sz w:val="28"/>
                <w:szCs w:val="28"/>
              </w:rPr>
              <w:t>根据委托代理协议约定，对于谈判文件的询问及质疑由</w:t>
            </w:r>
            <w:r>
              <w:rPr>
                <w:rFonts w:hint="eastAsia" w:ascii="仿宋" w:hAnsi="仿宋" w:eastAsia="仿宋" w:cs="仿宋"/>
                <w:color w:val="auto"/>
                <w:sz w:val="28"/>
                <w:szCs w:val="28"/>
                <w:lang w:val="zh-CN"/>
              </w:rPr>
              <w:t>重庆大正建设工程经济技术有限公司</w:t>
            </w:r>
            <w:r>
              <w:rPr>
                <w:rFonts w:ascii="仿宋" w:hAnsi="仿宋" w:eastAsia="仿宋" w:cs="仿宋"/>
                <w:color w:val="auto"/>
                <w:sz w:val="28"/>
                <w:szCs w:val="28"/>
                <w:lang w:val="zh-CN"/>
              </w:rPr>
              <w:t>负责答复</w:t>
            </w:r>
            <w:r>
              <w:rPr>
                <w:rFonts w:hint="eastAsia" w:ascii="仿宋" w:hAnsi="仿宋" w:eastAsia="仿宋" w:cs="仿宋"/>
                <w:color w:val="auto"/>
                <w:sz w:val="28"/>
                <w:szCs w:val="28"/>
                <w:lang w:val="zh-CN"/>
              </w:rPr>
              <w:t>，对于采购过程及结果</w:t>
            </w:r>
            <w:r>
              <w:rPr>
                <w:rFonts w:hint="eastAsia" w:ascii="仿宋" w:hAnsi="仿宋" w:eastAsia="仿宋" w:cs="仿宋"/>
                <w:color w:val="auto"/>
                <w:sz w:val="28"/>
                <w:szCs w:val="28"/>
              </w:rPr>
              <w:t>的询问和质疑由</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lang w:val="zh-CN"/>
              </w:rPr>
              <w:t>负责答复</w:t>
            </w:r>
            <w:r>
              <w:rPr>
                <w:rFonts w:hint="eastAsia" w:ascii="仿宋" w:hAnsi="仿宋" w:eastAsia="仿宋" w:cs="仿宋"/>
                <w:color w:val="auto"/>
                <w:sz w:val="28"/>
                <w:szCs w:val="28"/>
              </w:rPr>
              <w:t>。</w:t>
            </w:r>
          </w:p>
          <w:p w14:paraId="63F801CC">
            <w:pPr>
              <w:pStyle w:val="79"/>
              <w:snapToGrid w:val="0"/>
              <w:ind w:left="774" w:leftChars="102" w:hanging="560" w:hanging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联系人：蒲先生。</w:t>
            </w:r>
          </w:p>
          <w:p w14:paraId="4AA9B512">
            <w:pPr>
              <w:pStyle w:val="79"/>
              <w:snapToGrid w:val="0"/>
              <w:ind w:left="774" w:leftChars="102" w:hanging="560" w:hanging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联系电话：</w:t>
            </w:r>
            <w:r>
              <w:rPr>
                <w:rFonts w:hint="eastAsia" w:ascii="仿宋" w:hAnsi="仿宋" w:eastAsia="仿宋" w:cs="仿宋"/>
                <w:color w:val="auto"/>
                <w:sz w:val="28"/>
                <w:szCs w:val="28"/>
                <w:lang w:eastAsia="zh-CN"/>
              </w:rPr>
              <w:t>15883597877</w:t>
            </w:r>
            <w:r>
              <w:rPr>
                <w:rFonts w:hint="eastAsia" w:ascii="仿宋" w:hAnsi="仿宋" w:eastAsia="仿宋" w:cs="仿宋"/>
                <w:color w:val="auto"/>
                <w:sz w:val="28"/>
                <w:szCs w:val="28"/>
                <w:lang w:val="zh-CN"/>
              </w:rPr>
              <w:t>。</w:t>
            </w:r>
          </w:p>
          <w:p w14:paraId="24C9A0C7">
            <w:pPr>
              <w:pStyle w:val="79"/>
              <w:snapToGrid w:val="0"/>
              <w:ind w:left="10" w:leftChars="5" w:firstLine="518" w:firstLineChars="185"/>
              <w:rPr>
                <w:rFonts w:ascii="仿宋" w:hAnsi="仿宋" w:eastAsia="仿宋" w:cs="仿宋"/>
                <w:color w:val="auto"/>
                <w:sz w:val="28"/>
                <w:szCs w:val="28"/>
                <w:lang w:val="zh-CN"/>
              </w:rPr>
            </w:pPr>
            <w:r>
              <w:rPr>
                <w:rFonts w:hint="eastAsia" w:ascii="仿宋" w:hAnsi="仿宋" w:eastAsia="仿宋" w:cs="仿宋"/>
                <w:color w:val="auto"/>
                <w:sz w:val="28"/>
                <w:szCs w:val="28"/>
                <w:lang w:val="zh-CN"/>
              </w:rPr>
              <w:t>对采购文件提出质疑的，应当在获取采购文件或者采购文件公告期限届满之日起</w:t>
            </w:r>
            <w:r>
              <w:rPr>
                <w:rFonts w:hint="eastAsia" w:ascii="仿宋" w:hAnsi="仿宋" w:eastAsia="仿宋" w:cs="仿宋"/>
                <w:color w:val="auto"/>
                <w:sz w:val="28"/>
                <w:szCs w:val="28"/>
              </w:rPr>
              <w:t>七个工作日内提出；</w:t>
            </w:r>
            <w:r>
              <w:rPr>
                <w:rFonts w:hint="eastAsia" w:ascii="仿宋" w:hAnsi="仿宋" w:eastAsia="仿宋" w:cs="仿宋"/>
                <w:color w:val="auto"/>
                <w:sz w:val="28"/>
                <w:szCs w:val="28"/>
                <w:lang w:val="zh-CN"/>
              </w:rPr>
              <w:t>对采购过程提出质疑时间为各采购程序环节结束之日起七个工作日内；对采购结果提出质疑时间为中标结果公告发布次日起七个工作日内。</w:t>
            </w:r>
          </w:p>
          <w:p w14:paraId="59FF5531">
            <w:pPr>
              <w:pStyle w:val="79"/>
              <w:snapToGrid w:val="0"/>
              <w:ind w:left="10" w:leftChars="5" w:firstLine="238" w:firstLineChars="85"/>
              <w:rPr>
                <w:rFonts w:ascii="仿宋" w:hAnsi="仿宋" w:eastAsia="仿宋" w:cs="仿宋"/>
                <w:color w:val="auto"/>
                <w:sz w:val="28"/>
                <w:szCs w:val="28"/>
                <w:lang w:val="zh-CN"/>
              </w:rPr>
            </w:pPr>
            <w:r>
              <w:rPr>
                <w:rFonts w:hint="eastAsia" w:ascii="仿宋" w:hAnsi="仿宋" w:eastAsia="仿宋" w:cs="仿宋"/>
                <w:bCs/>
                <w:color w:val="auto"/>
                <w:sz w:val="28"/>
                <w:szCs w:val="28"/>
                <w:lang w:val="zh-CN"/>
              </w:rPr>
              <w:t>注：1</w:t>
            </w:r>
            <w:r>
              <w:rPr>
                <w:rFonts w:hint="eastAsia" w:ascii="仿宋" w:hAnsi="仿宋" w:eastAsia="仿宋" w:cs="仿宋"/>
                <w:bCs/>
                <w:color w:val="auto"/>
                <w:sz w:val="28"/>
                <w:szCs w:val="28"/>
              </w:rPr>
              <w:t>.</w:t>
            </w:r>
            <w:r>
              <w:rPr>
                <w:rFonts w:hint="eastAsia" w:ascii="仿宋" w:hAnsi="仿宋" w:eastAsia="仿宋" w:cs="仿宋"/>
                <w:color w:val="auto"/>
                <w:sz w:val="28"/>
                <w:szCs w:val="28"/>
                <w:lang w:val="zh-CN"/>
              </w:rPr>
              <w:t>根据《中华人民共和国政府采购法》的规定，供应商质疑不得超出谈判文件、采购过程、采购结果的范围。</w:t>
            </w:r>
          </w:p>
          <w:p w14:paraId="30FFC36A">
            <w:pPr>
              <w:pStyle w:val="79"/>
              <w:snapToGrid w:val="0"/>
              <w:ind w:firstLine="11" w:firstLineChars="4"/>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根据《政府采购质疑和投诉办法》的规定，供应商应在法定质疑期内一次性提出针对同一采购程序环节的质疑，否则，不予受理。</w:t>
            </w:r>
          </w:p>
        </w:tc>
      </w:tr>
      <w:tr w14:paraId="3BFEFE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78ACF04">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7</w:t>
            </w:r>
          </w:p>
        </w:tc>
        <w:tc>
          <w:tcPr>
            <w:tcW w:w="2409" w:type="dxa"/>
            <w:vAlign w:val="center"/>
          </w:tcPr>
          <w:p w14:paraId="7833B9C1">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供应商投诉</w:t>
            </w:r>
          </w:p>
        </w:tc>
        <w:tc>
          <w:tcPr>
            <w:tcW w:w="6084" w:type="dxa"/>
            <w:vAlign w:val="center"/>
          </w:tcPr>
          <w:p w14:paraId="1FB0850A">
            <w:pPr>
              <w:pStyle w:val="79"/>
              <w:snapToGrid w:val="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投诉受理单位：四川川信致远资产经营管理有限公司。</w:t>
            </w:r>
          </w:p>
          <w:p w14:paraId="3B0E623C">
            <w:pPr>
              <w:snapToGrid w:val="0"/>
              <w:rPr>
                <w:rFonts w:hint="eastAsia" w:ascii="仿宋" w:hAnsi="仿宋" w:eastAsia="仿宋"/>
                <w:color w:val="auto"/>
                <w:sz w:val="28"/>
                <w:szCs w:val="28"/>
                <w:lang w:val="zh-CN" w:eastAsia="zh-CN"/>
              </w:rPr>
            </w:pPr>
            <w:r>
              <w:rPr>
                <w:rFonts w:hint="eastAsia" w:ascii="仿宋" w:hAnsi="仿宋" w:eastAsia="仿宋" w:cs="仿宋"/>
                <w:color w:val="auto"/>
                <w:sz w:val="28"/>
                <w:szCs w:val="28"/>
                <w:lang w:val="zh-CN"/>
              </w:rPr>
              <w:t>联系电话：</w:t>
            </w:r>
            <w:r>
              <w:rPr>
                <w:rFonts w:hint="eastAsia" w:ascii="仿宋" w:hAnsi="仿宋" w:eastAsia="仿宋" w:cs="仿宋"/>
                <w:color w:val="auto"/>
                <w:sz w:val="28"/>
                <w:szCs w:val="28"/>
                <w:lang w:val="en-US" w:eastAsia="zh-CN"/>
              </w:rPr>
              <w:t>18011165890</w:t>
            </w:r>
            <w:r>
              <w:rPr>
                <w:rFonts w:hint="eastAsia" w:ascii="仿宋" w:hAnsi="仿宋" w:eastAsia="仿宋" w:cs="仿宋"/>
                <w:bCs/>
                <w:color w:val="auto"/>
                <w:sz w:val="28"/>
                <w:szCs w:val="28"/>
                <w:lang w:val="en-US" w:eastAsia="zh-CN"/>
              </w:rPr>
              <w:t xml:space="preserve"> </w:t>
            </w:r>
          </w:p>
          <w:p w14:paraId="65225A7D">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注：根据《中华人民共和国政府采购法》及其他有关等规定，供应商投诉事项不得超出已质疑事项的范围。</w:t>
            </w:r>
          </w:p>
        </w:tc>
      </w:tr>
      <w:tr w14:paraId="099636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BA7BFC1">
            <w:pPr>
              <w:pStyle w:val="79"/>
              <w:snapToGrid w:val="0"/>
              <w:ind w:right="230"/>
              <w:jc w:val="center"/>
              <w:rPr>
                <w:rFonts w:hint="eastAsia" w:ascii="仿宋" w:hAnsi="仿宋" w:eastAsia="仿宋" w:cs="Times New Roman"/>
                <w:color w:val="auto"/>
                <w:sz w:val="28"/>
                <w:szCs w:val="28"/>
                <w:lang w:val="zh-CN" w:eastAsia="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8</w:t>
            </w:r>
          </w:p>
        </w:tc>
        <w:tc>
          <w:tcPr>
            <w:tcW w:w="2409" w:type="dxa"/>
            <w:vAlign w:val="center"/>
          </w:tcPr>
          <w:p w14:paraId="2711DD18">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代理服务费</w:t>
            </w:r>
          </w:p>
        </w:tc>
        <w:tc>
          <w:tcPr>
            <w:tcW w:w="6084" w:type="dxa"/>
            <w:vAlign w:val="center"/>
          </w:tcPr>
          <w:p w14:paraId="04AF405B">
            <w:pPr>
              <w:pStyle w:val="79"/>
              <w:snapToGrid w:val="0"/>
              <w:ind w:left="151" w:leftChars="72"/>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本项目按照成本加合理利润方式确定代理服务费，参照“招标代理服务费收费管理暂行办法”—计价格【2002】1980号文件</w:t>
            </w:r>
            <w:r>
              <w:rPr>
                <w:rFonts w:hint="eastAsia" w:ascii="仿宋" w:hAnsi="仿宋" w:eastAsia="仿宋" w:cs="仿宋"/>
                <w:color w:val="auto"/>
                <w:sz w:val="28"/>
                <w:szCs w:val="28"/>
                <w:lang w:val="en-US" w:eastAsia="zh-CN"/>
              </w:rPr>
              <w:t>下浮20%收取</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在成交供应商领取成交通知书时，</w:t>
            </w:r>
            <w:r>
              <w:rPr>
                <w:rFonts w:ascii="仿宋" w:hAnsi="仿宋" w:eastAsia="仿宋" w:cs="仿宋"/>
                <w:color w:val="auto"/>
                <w:sz w:val="28"/>
                <w:szCs w:val="28"/>
                <w:lang w:val="zh-CN"/>
              </w:rPr>
              <w:t>一次性支付给采购代理机构</w:t>
            </w:r>
            <w:r>
              <w:rPr>
                <w:rFonts w:hint="eastAsia" w:ascii="仿宋" w:hAnsi="仿宋" w:eastAsia="仿宋" w:cs="仿宋"/>
                <w:color w:val="auto"/>
                <w:sz w:val="28"/>
                <w:szCs w:val="28"/>
                <w:lang w:val="zh-CN"/>
              </w:rPr>
              <w:t>。</w:t>
            </w:r>
          </w:p>
        </w:tc>
      </w:tr>
      <w:tr w14:paraId="1B914F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E2D173B">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9</w:t>
            </w:r>
          </w:p>
        </w:tc>
        <w:tc>
          <w:tcPr>
            <w:tcW w:w="2409" w:type="dxa"/>
            <w:vAlign w:val="center"/>
          </w:tcPr>
          <w:p w14:paraId="442D6816">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声明承诺提醒</w:t>
            </w:r>
          </w:p>
        </w:tc>
        <w:tc>
          <w:tcPr>
            <w:tcW w:w="6084" w:type="dxa"/>
            <w:vAlign w:val="center"/>
          </w:tcPr>
          <w:p w14:paraId="244AEAE0">
            <w:pPr>
              <w:pStyle w:val="79"/>
              <w:snapToGrid w:val="0"/>
              <w:ind w:left="155" w:leftChars="74" w:firstLine="75" w:firstLineChars="27"/>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14:paraId="473DB4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E80007E">
            <w:pPr>
              <w:pStyle w:val="79"/>
              <w:snapToGrid w:val="0"/>
              <w:ind w:right="230"/>
              <w:jc w:val="center"/>
              <w:rPr>
                <w:rFonts w:hint="default" w:ascii="仿宋" w:hAnsi="仿宋" w:eastAsia="仿宋" w:cs="Times New Roman"/>
                <w:color w:val="auto"/>
                <w:sz w:val="28"/>
                <w:szCs w:val="28"/>
                <w:lang w:val="en-US" w:eastAsia="zh-CN"/>
              </w:rPr>
            </w:pPr>
            <w:r>
              <w:rPr>
                <w:rFonts w:hint="eastAsia" w:ascii="仿宋" w:hAnsi="仿宋" w:eastAsia="仿宋" w:cs="仿宋"/>
                <w:color w:val="auto"/>
                <w:sz w:val="28"/>
                <w:szCs w:val="28"/>
                <w:lang w:val="en-US" w:eastAsia="zh-CN"/>
              </w:rPr>
              <w:t>20</w:t>
            </w:r>
          </w:p>
        </w:tc>
        <w:tc>
          <w:tcPr>
            <w:tcW w:w="2409" w:type="dxa"/>
            <w:vAlign w:val="center"/>
          </w:tcPr>
          <w:p w14:paraId="2C45C611">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中小企业政府采购信用融资</w:t>
            </w:r>
          </w:p>
        </w:tc>
        <w:tc>
          <w:tcPr>
            <w:tcW w:w="6084" w:type="dxa"/>
            <w:vAlign w:val="center"/>
          </w:tcPr>
          <w:p w14:paraId="703AAF37">
            <w:pPr>
              <w:pStyle w:val="79"/>
              <w:snapToGrid w:val="0"/>
              <w:ind w:left="155" w:leftChars="74" w:firstLine="75" w:firstLineChars="27"/>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参加本次采购活动成交的中小企业无需提供财产抵押或第三方担保，凭借政府采购合同可向金融机构申请融资。相关政策规定内容请在“四川政府采购网”查询。</w:t>
            </w:r>
          </w:p>
        </w:tc>
      </w:tr>
      <w:tr w14:paraId="4F6D7D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14:paraId="5CEEB0B4">
            <w:pPr>
              <w:pStyle w:val="79"/>
              <w:snapToGrid w:val="0"/>
              <w:ind w:right="23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1</w:t>
            </w:r>
          </w:p>
        </w:tc>
        <w:tc>
          <w:tcPr>
            <w:tcW w:w="2409" w:type="dxa"/>
            <w:tcBorders>
              <w:bottom w:val="single" w:color="auto" w:sz="18" w:space="0"/>
            </w:tcBorders>
            <w:vAlign w:val="center"/>
          </w:tcPr>
          <w:p w14:paraId="76FB14A9">
            <w:pPr>
              <w:pStyle w:val="79"/>
              <w:snapToGrid w:val="0"/>
              <w:ind w:left="96"/>
              <w:jc w:val="center"/>
              <w:rPr>
                <w:rFonts w:ascii="仿宋" w:hAnsi="仿宋" w:eastAsia="仿宋" w:cs="仿宋"/>
                <w:color w:val="auto"/>
                <w:sz w:val="28"/>
                <w:szCs w:val="28"/>
                <w:lang w:val="zh-CN"/>
              </w:rPr>
            </w:pPr>
            <w:r>
              <w:rPr>
                <w:rFonts w:hint="eastAsia" w:ascii="仿宋" w:hAnsi="仿宋" w:eastAsia="仿宋" w:cs="仿宋"/>
                <w:color w:val="auto"/>
                <w:sz w:val="28"/>
                <w:szCs w:val="28"/>
                <w:lang w:val="zh-CN"/>
              </w:rPr>
              <w:t>本项目所属行业</w:t>
            </w:r>
          </w:p>
        </w:tc>
        <w:tc>
          <w:tcPr>
            <w:tcW w:w="6084" w:type="dxa"/>
            <w:tcBorders>
              <w:bottom w:val="single" w:color="auto" w:sz="18" w:space="0"/>
            </w:tcBorders>
            <w:vAlign w:val="center"/>
          </w:tcPr>
          <w:p w14:paraId="075D68E5">
            <w:pPr>
              <w:pStyle w:val="79"/>
              <w:snapToGrid w:val="0"/>
              <w:ind w:left="155" w:leftChars="74" w:firstLine="75" w:firstLineChars="27"/>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本项目所属行业：</w:t>
            </w:r>
            <w:r>
              <w:rPr>
                <w:rFonts w:hint="eastAsia" w:ascii="仿宋" w:hAnsi="仿宋" w:eastAsia="仿宋" w:cs="仿宋"/>
                <w:b/>
                <w:bCs/>
                <w:color w:val="auto"/>
                <w:sz w:val="28"/>
                <w:szCs w:val="28"/>
                <w:u w:val="single"/>
                <w:lang w:val="en-US" w:eastAsia="zh-CN"/>
              </w:rPr>
              <w:t>批发业</w:t>
            </w:r>
            <w:r>
              <w:rPr>
                <w:rFonts w:hint="eastAsia" w:ascii="仿宋" w:hAnsi="仿宋" w:eastAsia="仿宋" w:cs="仿宋"/>
                <w:color w:val="auto"/>
                <w:sz w:val="28"/>
                <w:szCs w:val="28"/>
                <w:lang w:val="zh-CN"/>
              </w:rPr>
              <w:t>。</w:t>
            </w:r>
          </w:p>
          <w:p w14:paraId="7DFF4ECC">
            <w:pPr>
              <w:pStyle w:val="79"/>
              <w:snapToGrid w:val="0"/>
              <w:ind w:left="155" w:leftChars="74" w:firstLine="75" w:firstLineChars="27"/>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注：农、林、牧、渔业，工业，建筑业，批发业，零售业，交通运输业，仓储业，邮政业，住宿业，餐饮业，信息传输业，软件和信息技术服务业，房地产开发经营，物业管理，租赁和商务服务业，其他未列明行业；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bl>
    <w:p w14:paraId="2BCFF322">
      <w:pPr>
        <w:pStyle w:val="3"/>
        <w:keepNext w:val="0"/>
        <w:keepLines w:val="0"/>
        <w:spacing w:before="0" w:after="0" w:line="360" w:lineRule="auto"/>
        <w:jc w:val="center"/>
        <w:rPr>
          <w:rFonts w:ascii="仿宋" w:hAnsi="仿宋" w:eastAsia="仿宋" w:cs="仿宋"/>
          <w:color w:val="auto"/>
          <w:sz w:val="28"/>
          <w:szCs w:val="28"/>
        </w:rPr>
      </w:pPr>
    </w:p>
    <w:p w14:paraId="5169CFE4">
      <w:pPr>
        <w:pStyle w:val="3"/>
        <w:keepNext w:val="0"/>
        <w:keepLines w:val="0"/>
        <w:spacing w:before="0" w:after="0" w:line="360" w:lineRule="auto"/>
        <w:jc w:val="center"/>
        <w:rPr>
          <w:rFonts w:ascii="仿宋" w:hAnsi="仿宋" w:eastAsia="仿宋" w:cs="仿宋"/>
          <w:color w:val="auto"/>
        </w:rPr>
      </w:pPr>
    </w:p>
    <w:p w14:paraId="45414565">
      <w:pPr>
        <w:pStyle w:val="3"/>
        <w:keepNext w:val="0"/>
        <w:keepLines w:val="0"/>
        <w:spacing w:before="0" w:after="0" w:line="400" w:lineRule="exact"/>
        <w:jc w:val="center"/>
        <w:rPr>
          <w:rFonts w:ascii="黑体"/>
          <w:b w:val="0"/>
          <w:color w:val="auto"/>
          <w:sz w:val="44"/>
          <w:szCs w:val="44"/>
        </w:rPr>
      </w:pPr>
      <w:bookmarkStart w:id="16" w:name="_Toc89075878"/>
      <w:bookmarkStart w:id="17" w:name="_Toc77400782"/>
      <w:bookmarkStart w:id="18" w:name="_Toc217446056"/>
      <w:bookmarkStart w:id="19" w:name="_Toc183582231"/>
      <w:bookmarkStart w:id="20" w:name="_Toc183682368"/>
      <w:bookmarkStart w:id="21" w:name="PO_默认文件内容_26"/>
      <w:r>
        <w:rPr>
          <w:rFonts w:hint="eastAsia" w:ascii="黑体"/>
          <w:bCs w:val="0"/>
          <w:color w:val="auto"/>
        </w:rPr>
        <w:br w:type="page"/>
      </w:r>
      <w:r>
        <w:rPr>
          <w:rFonts w:hint="eastAsia" w:ascii="黑体"/>
          <w:b w:val="0"/>
          <w:color w:val="auto"/>
          <w:sz w:val="44"/>
          <w:szCs w:val="44"/>
        </w:rPr>
        <w:t>二、总  则</w:t>
      </w:r>
    </w:p>
    <w:p w14:paraId="14EC3DFC">
      <w:pPr>
        <w:rPr>
          <w:color w:val="auto"/>
        </w:rPr>
      </w:pPr>
      <w:bookmarkStart w:id="22" w:name="_Toc183582205"/>
      <w:bookmarkStart w:id="23" w:name="_Toc183682342"/>
      <w:bookmarkStart w:id="24" w:name="_Toc217446034"/>
    </w:p>
    <w:p w14:paraId="6D391C33">
      <w:pPr>
        <w:ind w:firstLine="643"/>
        <w:rPr>
          <w:color w:val="auto"/>
        </w:rPr>
      </w:pPr>
    </w:p>
    <w:bookmarkEnd w:id="22"/>
    <w:bookmarkEnd w:id="23"/>
    <w:bookmarkEnd w:id="24"/>
    <w:p w14:paraId="1960DE9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适用范围</w:t>
      </w:r>
    </w:p>
    <w:p w14:paraId="13BF5EF2">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1 本谈判文件仅适用于本次谈判所叙述的货物/服务采购。</w:t>
      </w:r>
    </w:p>
    <w:p w14:paraId="4FE84361">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1.2 本谈判文件的解释权归采购人和采购代理机构所有。</w:t>
      </w:r>
    </w:p>
    <w:p w14:paraId="59DE7FE4">
      <w:pPr>
        <w:pStyle w:val="4"/>
        <w:keepNext w:val="0"/>
        <w:keepLines w:val="0"/>
        <w:spacing w:before="0" w:after="0" w:line="400" w:lineRule="exact"/>
        <w:rPr>
          <w:rFonts w:ascii="宋体" w:hAnsi="宋体"/>
          <w:color w:val="auto"/>
          <w:sz w:val="28"/>
          <w:szCs w:val="28"/>
        </w:rPr>
      </w:pPr>
      <w:bookmarkStart w:id="25" w:name="_Toc217446035"/>
      <w:bookmarkStart w:id="26" w:name="_Toc183582206"/>
      <w:bookmarkStart w:id="27" w:name="_Toc183682343"/>
    </w:p>
    <w:p w14:paraId="0F603A7B">
      <w:pPr>
        <w:pStyle w:val="4"/>
        <w:keepNext w:val="0"/>
        <w:keepLines w:val="0"/>
        <w:spacing w:before="0" w:after="0" w:line="400" w:lineRule="exact"/>
        <w:ind w:firstLine="560" w:firstLineChars="200"/>
        <w:rPr>
          <w:rFonts w:ascii="宋体" w:hAnsi="宋体"/>
          <w:color w:val="auto"/>
          <w:sz w:val="28"/>
          <w:szCs w:val="28"/>
        </w:rPr>
      </w:pPr>
      <w:r>
        <w:rPr>
          <w:rFonts w:ascii="宋体" w:hAnsi="宋体"/>
          <w:color w:val="auto"/>
          <w:sz w:val="28"/>
          <w:szCs w:val="28"/>
        </w:rPr>
        <w:t>2.</w:t>
      </w:r>
      <w:bookmarkEnd w:id="25"/>
      <w:bookmarkEnd w:id="26"/>
      <w:bookmarkEnd w:id="27"/>
      <w:r>
        <w:rPr>
          <w:rFonts w:hint="eastAsia" w:ascii="宋体" w:hAnsi="宋体"/>
          <w:color w:val="auto"/>
          <w:sz w:val="28"/>
          <w:szCs w:val="28"/>
        </w:rPr>
        <w:t>采购主体</w:t>
      </w:r>
    </w:p>
    <w:p w14:paraId="3D5E3499">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1本次谈判的采购人是</w:t>
      </w:r>
      <w:r>
        <w:rPr>
          <w:rFonts w:hint="eastAsia" w:ascii="宋体" w:hAnsi="宋体"/>
          <w:bCs/>
          <w:color w:val="auto"/>
          <w:sz w:val="28"/>
          <w:szCs w:val="28"/>
          <w:u w:val="single"/>
          <w:lang w:val="en-US" w:eastAsia="zh-CN"/>
        </w:rPr>
        <w:t>四川川信致远资产经营管理有限公司</w:t>
      </w:r>
      <w:r>
        <w:rPr>
          <w:rFonts w:hint="eastAsia" w:ascii="宋体" w:hAnsi="宋体"/>
          <w:color w:val="auto"/>
          <w:sz w:val="28"/>
          <w:szCs w:val="28"/>
        </w:rPr>
        <w:t>。</w:t>
      </w:r>
    </w:p>
    <w:p w14:paraId="678F7459">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2本次谈判的采购代理机构是</w:t>
      </w:r>
      <w:r>
        <w:rPr>
          <w:rFonts w:hint="eastAsia" w:ascii="宋体" w:hAnsi="宋体"/>
          <w:bCs/>
          <w:color w:val="auto"/>
          <w:sz w:val="28"/>
          <w:szCs w:val="28"/>
          <w:u w:val="single"/>
          <w:lang w:eastAsia="zh-CN"/>
        </w:rPr>
        <w:t>重庆大正建设工程经济技术有限公司</w:t>
      </w:r>
      <w:r>
        <w:rPr>
          <w:rFonts w:hint="eastAsia" w:ascii="宋体" w:hAnsi="宋体"/>
          <w:color w:val="auto"/>
          <w:sz w:val="28"/>
          <w:szCs w:val="28"/>
        </w:rPr>
        <w:t>。</w:t>
      </w:r>
    </w:p>
    <w:p w14:paraId="377AB2C6">
      <w:pPr>
        <w:pStyle w:val="4"/>
        <w:keepNext w:val="0"/>
        <w:keepLines w:val="0"/>
        <w:spacing w:before="0" w:after="0" w:line="400" w:lineRule="exact"/>
        <w:ind w:firstLine="560" w:firstLineChars="200"/>
        <w:rPr>
          <w:rFonts w:ascii="宋体" w:hAnsi="宋体"/>
          <w:color w:val="auto"/>
          <w:sz w:val="28"/>
          <w:szCs w:val="28"/>
        </w:rPr>
      </w:pPr>
    </w:p>
    <w:p w14:paraId="2D90E867">
      <w:pPr>
        <w:pStyle w:val="4"/>
        <w:keepNext w:val="0"/>
        <w:keepLines w:val="0"/>
        <w:spacing w:before="0" w:after="0" w:line="400" w:lineRule="exact"/>
        <w:ind w:firstLine="560" w:firstLineChars="200"/>
        <w:rPr>
          <w:rFonts w:ascii="宋体" w:hAnsi="宋体"/>
          <w:color w:val="auto"/>
          <w:sz w:val="28"/>
          <w:szCs w:val="28"/>
        </w:rPr>
      </w:pPr>
      <w:bookmarkStart w:id="28" w:name="_Toc217446036"/>
      <w:bookmarkStart w:id="29" w:name="_Toc183582207"/>
      <w:bookmarkStart w:id="30" w:name="_Toc183682344"/>
      <w:bookmarkStart w:id="31" w:name="_Toc217390843"/>
      <w:r>
        <w:rPr>
          <w:rFonts w:ascii="宋体" w:hAnsi="宋体"/>
          <w:color w:val="auto"/>
          <w:sz w:val="28"/>
          <w:szCs w:val="28"/>
        </w:rPr>
        <w:t>3.</w:t>
      </w:r>
      <w:r>
        <w:rPr>
          <w:rFonts w:hint="eastAsia" w:ascii="宋体" w:hAnsi="宋体"/>
          <w:color w:val="auto"/>
          <w:sz w:val="28"/>
          <w:szCs w:val="28"/>
        </w:rPr>
        <w:t xml:space="preserve"> 合格</w:t>
      </w:r>
      <w:bookmarkEnd w:id="28"/>
      <w:bookmarkEnd w:id="29"/>
      <w:bookmarkEnd w:id="30"/>
      <w:bookmarkEnd w:id="31"/>
      <w:r>
        <w:rPr>
          <w:rFonts w:hint="eastAsia" w:ascii="宋体" w:hAnsi="宋体"/>
          <w:color w:val="auto"/>
          <w:sz w:val="28"/>
          <w:szCs w:val="28"/>
        </w:rPr>
        <w:t>供应商（实质性要求）</w:t>
      </w:r>
    </w:p>
    <w:p w14:paraId="1F3B23CB">
      <w:pPr>
        <w:tabs>
          <w:tab w:val="left" w:pos="7665"/>
        </w:tabs>
        <w:spacing w:line="400" w:lineRule="exact"/>
        <w:rPr>
          <w:rFonts w:ascii="宋体" w:hAnsi="宋体"/>
          <w:color w:val="auto"/>
          <w:sz w:val="28"/>
          <w:szCs w:val="28"/>
        </w:rPr>
      </w:pPr>
      <w:r>
        <w:rPr>
          <w:rFonts w:hint="eastAsia" w:ascii="宋体" w:hAnsi="宋体"/>
          <w:b/>
          <w:color w:val="auto"/>
          <w:sz w:val="28"/>
          <w:szCs w:val="28"/>
        </w:rPr>
        <w:t xml:space="preserve">    </w:t>
      </w:r>
      <w:r>
        <w:rPr>
          <w:rFonts w:hint="eastAsia" w:ascii="宋体" w:hAnsi="宋体"/>
          <w:color w:val="auto"/>
          <w:sz w:val="28"/>
          <w:szCs w:val="28"/>
        </w:rPr>
        <w:t>合格供应商应具备以下条件：</w:t>
      </w:r>
    </w:p>
    <w:p w14:paraId="29AD4B95">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3.1 具备法律法规和本采购文件规定的资格条件；</w:t>
      </w:r>
    </w:p>
    <w:p w14:paraId="6050E9ED">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3.2 不属于禁止参加本项目采购活动的供应商；</w:t>
      </w:r>
    </w:p>
    <w:p w14:paraId="53D68FBE">
      <w:pPr>
        <w:tabs>
          <w:tab w:val="left" w:pos="7665"/>
        </w:tabs>
        <w:spacing w:line="400" w:lineRule="exact"/>
        <w:ind w:firstLine="560" w:firstLineChars="200"/>
        <w:rPr>
          <w:rFonts w:ascii="宋体" w:hAnsi="宋体"/>
          <w:color w:val="auto"/>
          <w:spacing w:val="-4"/>
          <w:sz w:val="28"/>
          <w:szCs w:val="28"/>
        </w:rPr>
      </w:pPr>
      <w:r>
        <w:rPr>
          <w:rFonts w:hint="eastAsia" w:ascii="宋体" w:hAnsi="宋体"/>
          <w:color w:val="auto"/>
          <w:sz w:val="28"/>
          <w:szCs w:val="28"/>
        </w:rPr>
        <w:t>3.3按规定获取了谈判文件，属于实质性参加政府采购活动的供应商。</w:t>
      </w:r>
    </w:p>
    <w:p w14:paraId="154C22EA">
      <w:pPr>
        <w:pStyle w:val="4"/>
        <w:keepNext w:val="0"/>
        <w:keepLines w:val="0"/>
        <w:spacing w:before="0" w:after="0" w:line="400" w:lineRule="exact"/>
        <w:ind w:firstLine="560" w:firstLineChars="200"/>
        <w:rPr>
          <w:rFonts w:ascii="宋体" w:hAnsi="宋体"/>
          <w:color w:val="auto"/>
          <w:sz w:val="28"/>
          <w:szCs w:val="28"/>
        </w:rPr>
      </w:pPr>
      <w:bookmarkStart w:id="32" w:name="_Toc217446037"/>
      <w:bookmarkStart w:id="33" w:name="_Toc183682345"/>
      <w:bookmarkStart w:id="34" w:name="_Toc183582208"/>
    </w:p>
    <w:p w14:paraId="4C6EFB7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4. 谈判费用</w:t>
      </w:r>
      <w:bookmarkEnd w:id="32"/>
      <w:bookmarkEnd w:id="33"/>
      <w:bookmarkEnd w:id="34"/>
      <w:r>
        <w:rPr>
          <w:rFonts w:hint="eastAsia" w:ascii="宋体" w:hAnsi="宋体"/>
          <w:color w:val="auto"/>
          <w:sz w:val="28"/>
          <w:szCs w:val="28"/>
        </w:rPr>
        <w:t>（实质性要求）</w:t>
      </w:r>
    </w:p>
    <w:p w14:paraId="72B2CDF5">
      <w:pPr>
        <w:tabs>
          <w:tab w:val="left" w:pos="7665"/>
        </w:tabs>
        <w:spacing w:line="400" w:lineRule="exact"/>
        <w:ind w:firstLine="480"/>
        <w:rPr>
          <w:rFonts w:ascii="宋体" w:hAnsi="宋体"/>
          <w:color w:val="auto"/>
          <w:sz w:val="28"/>
          <w:szCs w:val="28"/>
        </w:rPr>
      </w:pPr>
      <w:r>
        <w:rPr>
          <w:rFonts w:hint="eastAsia" w:ascii="宋体" w:hAnsi="宋体"/>
          <w:color w:val="auto"/>
          <w:sz w:val="28"/>
          <w:szCs w:val="28"/>
        </w:rPr>
        <w:t>供应商应自行承担参加谈判活动的全部费用。</w:t>
      </w:r>
    </w:p>
    <w:p w14:paraId="0544F1C8">
      <w:pPr>
        <w:rPr>
          <w:color w:val="auto"/>
          <w:sz w:val="28"/>
          <w:szCs w:val="28"/>
        </w:rPr>
      </w:pPr>
    </w:p>
    <w:p w14:paraId="422CB7DF">
      <w:pPr>
        <w:pStyle w:val="164"/>
        <w:spacing w:line="400" w:lineRule="exact"/>
        <w:ind w:left="1" w:firstLine="560" w:firstLineChars="200"/>
        <w:rPr>
          <w:rFonts w:hAnsi="宋体"/>
          <w:b/>
          <w:color w:val="auto"/>
          <w:sz w:val="28"/>
          <w:szCs w:val="28"/>
        </w:rPr>
      </w:pPr>
      <w:r>
        <w:rPr>
          <w:rFonts w:hint="eastAsia" w:hAnsi="宋体"/>
          <w:b/>
          <w:color w:val="auto"/>
          <w:sz w:val="28"/>
          <w:szCs w:val="28"/>
        </w:rPr>
        <w:t>5.充分、公平竞争保障措施（实质性要求）</w:t>
      </w:r>
    </w:p>
    <w:p w14:paraId="41D3B737">
      <w:pPr>
        <w:pStyle w:val="164"/>
        <w:spacing w:line="400" w:lineRule="exact"/>
        <w:ind w:left="1" w:firstLine="560" w:firstLineChars="200"/>
        <w:rPr>
          <w:rFonts w:hAnsi="宋体"/>
          <w:color w:val="auto"/>
          <w:sz w:val="28"/>
          <w:szCs w:val="28"/>
        </w:rPr>
      </w:pPr>
      <w:r>
        <w:rPr>
          <w:rFonts w:hint="eastAsia" w:hAnsi="宋体"/>
          <w:color w:val="auto"/>
          <w:sz w:val="28"/>
          <w:szCs w:val="28"/>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4ED7965">
      <w:pPr>
        <w:pStyle w:val="164"/>
        <w:spacing w:line="400" w:lineRule="exact"/>
        <w:ind w:left="1" w:firstLine="560" w:firstLineChars="200"/>
        <w:rPr>
          <w:rFonts w:hAnsi="宋体"/>
          <w:color w:val="auto"/>
          <w:sz w:val="28"/>
          <w:szCs w:val="28"/>
        </w:rPr>
      </w:pPr>
      <w:r>
        <w:rPr>
          <w:rFonts w:hint="eastAsia" w:hAnsi="宋体"/>
          <w:color w:val="auto"/>
          <w:sz w:val="28"/>
          <w:szCs w:val="28"/>
        </w:rPr>
        <w:t>5.2利害关系授权代表处理。两家以上的供应商不得在同一合同项下的采购项目中，委托同一个自然人、同一家庭的人员、同一单位的人员作为其授权代表，否则，其响应文件作为无效处理。</w:t>
      </w:r>
    </w:p>
    <w:p w14:paraId="575AB277">
      <w:pPr>
        <w:pStyle w:val="164"/>
        <w:spacing w:line="400" w:lineRule="exact"/>
        <w:ind w:left="1" w:firstLine="560" w:firstLineChars="200"/>
        <w:rPr>
          <w:rFonts w:hAnsi="宋体"/>
          <w:color w:val="auto"/>
          <w:sz w:val="28"/>
          <w:szCs w:val="28"/>
        </w:rPr>
      </w:pPr>
      <w:r>
        <w:rPr>
          <w:rFonts w:hint="eastAsia" w:hAnsi="宋体"/>
          <w:color w:val="auto"/>
          <w:sz w:val="28"/>
          <w:szCs w:val="28"/>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2D29D015">
      <w:pPr>
        <w:pStyle w:val="164"/>
        <w:spacing w:line="400" w:lineRule="exact"/>
        <w:ind w:left="1" w:firstLine="560" w:firstLineChars="200"/>
        <w:rPr>
          <w:rFonts w:hAnsi="宋体"/>
          <w:color w:val="auto"/>
          <w:sz w:val="28"/>
          <w:szCs w:val="28"/>
        </w:rPr>
      </w:pPr>
      <w:r>
        <w:rPr>
          <w:rFonts w:hint="eastAsia" w:hAnsi="宋体"/>
          <w:color w:val="auto"/>
          <w:sz w:val="28"/>
          <w:szCs w:val="28"/>
        </w:rPr>
        <w:t>5.4提供相同品牌产品处理。提供相同品牌产品且通过资格审查的不同供应商参加同一合同项下采购项目的，按一家供应商计算，最后报价最低的同品牌供应商获得成交供应商推荐资格；最后报价相同的，由采购人委托谈判小组自主采取公平、择优的方式确定一个供应商获得成交供应商推荐资格，其他同品牌供应商不作为成交供应商候选人。</w:t>
      </w:r>
    </w:p>
    <w:p w14:paraId="4990CC61">
      <w:pPr>
        <w:pStyle w:val="164"/>
        <w:spacing w:line="400" w:lineRule="exact"/>
        <w:ind w:left="1" w:firstLine="560" w:firstLineChars="200"/>
        <w:rPr>
          <w:rFonts w:hAnsi="宋体"/>
          <w:color w:val="auto"/>
          <w:sz w:val="28"/>
          <w:szCs w:val="28"/>
        </w:rPr>
      </w:pPr>
      <w:r>
        <w:rPr>
          <w:rFonts w:hint="eastAsia" w:hAnsi="宋体"/>
          <w:color w:val="auto"/>
          <w:sz w:val="28"/>
          <w:szCs w:val="28"/>
        </w:rPr>
        <w:t>非单一产品采购项目中，多家供应商提供的部分或所有核心产品品牌相同的，视为提供相同品牌产品。本采购项目核心产品为：/。</w:t>
      </w:r>
    </w:p>
    <w:p w14:paraId="4CED63C3">
      <w:pPr>
        <w:pStyle w:val="164"/>
        <w:spacing w:line="400" w:lineRule="exact"/>
        <w:ind w:left="1" w:firstLine="560" w:firstLineChars="200"/>
        <w:rPr>
          <w:rFonts w:hAnsi="宋体"/>
          <w:color w:val="auto"/>
          <w:sz w:val="28"/>
          <w:szCs w:val="28"/>
        </w:rPr>
      </w:pPr>
      <w:r>
        <w:rPr>
          <w:rFonts w:hint="eastAsia" w:hAnsi="宋体"/>
          <w:color w:val="auto"/>
          <w:sz w:val="28"/>
          <w:szCs w:val="28"/>
        </w:rPr>
        <w:t>5.5供应商实际控制人或者中高级管理人员，同时是采购代理机构工作人员，不得参与本项目政府采购活动。</w:t>
      </w:r>
    </w:p>
    <w:p w14:paraId="19EBA76A">
      <w:pPr>
        <w:spacing w:line="400" w:lineRule="exact"/>
        <w:ind w:firstLine="560" w:firstLineChars="200"/>
        <w:rPr>
          <w:rFonts w:ascii="宋体" w:hAnsi="宋体"/>
          <w:color w:val="auto"/>
          <w:sz w:val="28"/>
          <w:szCs w:val="28"/>
        </w:rPr>
      </w:pPr>
      <w:r>
        <w:rPr>
          <w:rFonts w:hint="eastAsia" w:ascii="宋体" w:hAnsi="宋体"/>
          <w:color w:val="auto"/>
          <w:sz w:val="28"/>
          <w:szCs w:val="28"/>
        </w:rPr>
        <w:t>5.6同一母公司的两家以上的子公司只能组成联合体参加本项目同一合同项下的采购活动，不得以不同供应商身份同时参加本项目同一合同项下的采购活动。</w:t>
      </w:r>
    </w:p>
    <w:p w14:paraId="1609AF43">
      <w:pPr>
        <w:spacing w:line="400" w:lineRule="exact"/>
        <w:ind w:firstLine="560" w:firstLineChars="200"/>
        <w:rPr>
          <w:rFonts w:ascii="宋体" w:hAnsi="宋体"/>
          <w:color w:val="auto"/>
          <w:sz w:val="28"/>
          <w:szCs w:val="28"/>
        </w:rPr>
      </w:pPr>
      <w:r>
        <w:rPr>
          <w:rFonts w:hint="eastAsia" w:ascii="宋体" w:hAnsi="宋体"/>
          <w:color w:val="auto"/>
          <w:sz w:val="28"/>
          <w:szCs w:val="28"/>
        </w:rPr>
        <w:t>5.7供应商与采购代理机构存在关联关系，或者是采购代理机构的母公司或子公司，不得参加本项目政府采购活动。</w:t>
      </w:r>
    </w:p>
    <w:p w14:paraId="6E2ACCAD">
      <w:pPr>
        <w:pStyle w:val="164"/>
        <w:spacing w:line="400" w:lineRule="exact"/>
        <w:ind w:left="1" w:firstLine="560" w:firstLineChars="200"/>
        <w:rPr>
          <w:rFonts w:hAnsi="宋体"/>
          <w:color w:val="auto"/>
          <w:sz w:val="28"/>
          <w:szCs w:val="28"/>
        </w:rPr>
      </w:pPr>
      <w:r>
        <w:rPr>
          <w:rFonts w:hint="eastAsia" w:hAnsi="宋体"/>
          <w:color w:val="auto"/>
          <w:sz w:val="28"/>
          <w:szCs w:val="28"/>
        </w:rPr>
        <w:t>5.8回避。政府采购活动中，采购人员及相关人员与供应商有下列利害关系之一的，应当回避：</w:t>
      </w:r>
    </w:p>
    <w:p w14:paraId="4567EC01">
      <w:pPr>
        <w:pStyle w:val="164"/>
        <w:spacing w:line="400" w:lineRule="exact"/>
        <w:ind w:left="1" w:firstLine="560" w:firstLineChars="200"/>
        <w:rPr>
          <w:rFonts w:hAnsi="宋体"/>
          <w:color w:val="auto"/>
          <w:sz w:val="28"/>
          <w:szCs w:val="28"/>
        </w:rPr>
      </w:pPr>
      <w:r>
        <w:rPr>
          <w:rFonts w:hint="eastAsia" w:hAnsi="宋体"/>
          <w:color w:val="auto"/>
          <w:sz w:val="28"/>
          <w:szCs w:val="28"/>
        </w:rPr>
        <w:t>（1）参加采购活动前3年内与供应商存在劳动关系；</w:t>
      </w:r>
    </w:p>
    <w:p w14:paraId="7D767510">
      <w:pPr>
        <w:pStyle w:val="164"/>
        <w:spacing w:line="400" w:lineRule="exact"/>
        <w:ind w:left="1" w:firstLine="560" w:firstLineChars="200"/>
        <w:rPr>
          <w:rFonts w:hAnsi="宋体"/>
          <w:color w:val="auto"/>
          <w:sz w:val="28"/>
          <w:szCs w:val="28"/>
        </w:rPr>
      </w:pPr>
      <w:r>
        <w:rPr>
          <w:rFonts w:hint="eastAsia" w:hAnsi="宋体"/>
          <w:color w:val="auto"/>
          <w:sz w:val="28"/>
          <w:szCs w:val="28"/>
        </w:rPr>
        <w:t>（2）参加采购活动前3年内担任供应商的董事、监事；</w:t>
      </w:r>
    </w:p>
    <w:p w14:paraId="33DA5AC3">
      <w:pPr>
        <w:pStyle w:val="164"/>
        <w:spacing w:line="400" w:lineRule="exact"/>
        <w:ind w:left="1" w:firstLine="560" w:firstLineChars="200"/>
        <w:rPr>
          <w:rFonts w:hAnsi="宋体"/>
          <w:color w:val="auto"/>
          <w:sz w:val="28"/>
          <w:szCs w:val="28"/>
        </w:rPr>
      </w:pPr>
      <w:r>
        <w:rPr>
          <w:rFonts w:hint="eastAsia" w:hAnsi="宋体"/>
          <w:color w:val="auto"/>
          <w:sz w:val="28"/>
          <w:szCs w:val="28"/>
        </w:rPr>
        <w:t>（3）参加采购活动前3年内是供应商的控股股东或者实际控制人；</w:t>
      </w:r>
    </w:p>
    <w:p w14:paraId="6544BB62">
      <w:pPr>
        <w:pStyle w:val="164"/>
        <w:spacing w:line="400" w:lineRule="exact"/>
        <w:ind w:left="1" w:firstLine="560" w:firstLineChars="200"/>
        <w:rPr>
          <w:rFonts w:hAnsi="宋体"/>
          <w:color w:val="auto"/>
          <w:sz w:val="28"/>
          <w:szCs w:val="28"/>
        </w:rPr>
      </w:pPr>
      <w:r>
        <w:rPr>
          <w:rFonts w:hint="eastAsia" w:hAnsi="宋体"/>
          <w:color w:val="auto"/>
          <w:sz w:val="28"/>
          <w:szCs w:val="28"/>
        </w:rPr>
        <w:t>（4）与供应商的法定代表人或者负责人有夫妻、直系血亲、三代以内旁系血亲或者近姻亲关系；</w:t>
      </w:r>
    </w:p>
    <w:p w14:paraId="18EA47E4">
      <w:pPr>
        <w:pStyle w:val="164"/>
        <w:spacing w:line="400" w:lineRule="exact"/>
        <w:ind w:left="1" w:firstLine="560" w:firstLineChars="200"/>
        <w:rPr>
          <w:rFonts w:hAnsi="宋体"/>
          <w:color w:val="auto"/>
          <w:sz w:val="28"/>
          <w:szCs w:val="28"/>
        </w:rPr>
      </w:pPr>
      <w:r>
        <w:rPr>
          <w:rFonts w:hint="eastAsia" w:hAnsi="宋体"/>
          <w:color w:val="auto"/>
          <w:sz w:val="28"/>
          <w:szCs w:val="28"/>
        </w:rPr>
        <w:t>（5）与供应商有其他可能影响政府采购活动公平、公正进行的关系。</w:t>
      </w:r>
    </w:p>
    <w:p w14:paraId="03691A20">
      <w:pPr>
        <w:pStyle w:val="164"/>
        <w:spacing w:line="400" w:lineRule="exact"/>
        <w:ind w:left="1" w:firstLine="560" w:firstLineChars="200"/>
        <w:rPr>
          <w:rFonts w:hAnsi="宋体"/>
          <w:color w:val="auto"/>
          <w:sz w:val="28"/>
          <w:szCs w:val="28"/>
        </w:rPr>
      </w:pPr>
      <w:r>
        <w:rPr>
          <w:rFonts w:hint="eastAsia" w:hAnsi="宋体"/>
          <w:color w:val="auto"/>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14:paraId="32536A2D">
      <w:pPr>
        <w:pStyle w:val="164"/>
        <w:spacing w:line="400" w:lineRule="exact"/>
        <w:ind w:left="1" w:firstLine="560" w:firstLineChars="200"/>
        <w:rPr>
          <w:rFonts w:hAnsi="宋体"/>
          <w:color w:val="auto"/>
          <w:sz w:val="28"/>
          <w:szCs w:val="28"/>
        </w:rPr>
      </w:pPr>
      <w:r>
        <w:rPr>
          <w:rFonts w:hint="eastAsia" w:hAnsi="宋体"/>
          <w:color w:val="auto"/>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14:paraId="612BC959">
      <w:pPr>
        <w:pStyle w:val="164"/>
        <w:spacing w:line="400" w:lineRule="exact"/>
        <w:ind w:left="1" w:firstLine="560" w:firstLineChars="200"/>
        <w:rPr>
          <w:rFonts w:hAnsi="宋体"/>
          <w:b/>
          <w:color w:val="auto"/>
          <w:sz w:val="28"/>
          <w:szCs w:val="28"/>
        </w:rPr>
      </w:pPr>
    </w:p>
    <w:p w14:paraId="697AAD20">
      <w:pPr>
        <w:pStyle w:val="164"/>
        <w:spacing w:line="400" w:lineRule="exact"/>
        <w:ind w:left="1" w:firstLine="560" w:firstLineChars="200"/>
        <w:rPr>
          <w:rFonts w:hAnsi="宋体"/>
          <w:b/>
          <w:color w:val="auto"/>
          <w:sz w:val="28"/>
          <w:szCs w:val="28"/>
        </w:rPr>
      </w:pPr>
      <w:r>
        <w:rPr>
          <w:rFonts w:hint="eastAsia" w:hAnsi="宋体"/>
          <w:b/>
          <w:color w:val="auto"/>
          <w:sz w:val="28"/>
          <w:szCs w:val="28"/>
        </w:rPr>
        <w:t>6.联合体竞争性谈判</w:t>
      </w:r>
    </w:p>
    <w:p w14:paraId="5157ADC6">
      <w:pPr>
        <w:pStyle w:val="164"/>
        <w:spacing w:line="400" w:lineRule="exact"/>
        <w:ind w:left="1" w:firstLine="560" w:firstLineChars="200"/>
        <w:rPr>
          <w:rFonts w:hAnsi="宋体"/>
          <w:color w:val="auto"/>
          <w:sz w:val="28"/>
          <w:szCs w:val="28"/>
        </w:rPr>
      </w:pPr>
      <w:r>
        <w:rPr>
          <w:rFonts w:hint="eastAsia" w:hAnsi="宋体"/>
          <w:color w:val="auto"/>
          <w:sz w:val="28"/>
          <w:szCs w:val="28"/>
        </w:rPr>
        <w:t>本项目不接受联合体参与采购活动。</w:t>
      </w:r>
    </w:p>
    <w:p w14:paraId="65EB7051">
      <w:pPr>
        <w:pStyle w:val="164"/>
        <w:spacing w:line="400" w:lineRule="exact"/>
        <w:ind w:left="1" w:firstLine="560" w:firstLineChars="200"/>
        <w:rPr>
          <w:rFonts w:hAnsi="宋体"/>
          <w:b/>
          <w:color w:val="auto"/>
          <w:sz w:val="28"/>
          <w:szCs w:val="28"/>
        </w:rPr>
      </w:pPr>
      <w:r>
        <w:rPr>
          <w:rFonts w:hint="eastAsia" w:hAnsi="宋体"/>
          <w:b/>
          <w:color w:val="auto"/>
          <w:sz w:val="28"/>
          <w:szCs w:val="28"/>
        </w:rPr>
        <w:t>7.谈判保证金</w:t>
      </w:r>
    </w:p>
    <w:p w14:paraId="4144F18D">
      <w:pPr>
        <w:spacing w:line="400" w:lineRule="exact"/>
        <w:ind w:firstLine="548" w:firstLineChars="196"/>
        <w:rPr>
          <w:rFonts w:ascii="宋体" w:hAnsi="宋体"/>
          <w:color w:val="auto"/>
          <w:sz w:val="28"/>
          <w:szCs w:val="28"/>
        </w:rPr>
      </w:pPr>
      <w:r>
        <w:rPr>
          <w:rFonts w:hint="eastAsia" w:ascii="宋体" w:hAnsi="宋体"/>
          <w:color w:val="auto"/>
          <w:kern w:val="0"/>
          <w:sz w:val="28"/>
          <w:szCs w:val="28"/>
          <w:lang w:val="en-US" w:eastAsia="zh-CN"/>
        </w:rPr>
        <w:t>本项目</w:t>
      </w:r>
      <w:r>
        <w:rPr>
          <w:rFonts w:hint="eastAsia" w:ascii="宋体" w:hAnsi="宋体"/>
          <w:color w:val="auto"/>
          <w:kern w:val="0"/>
          <w:sz w:val="28"/>
          <w:szCs w:val="28"/>
        </w:rPr>
        <w:t>不收取谈判保证金。</w:t>
      </w:r>
    </w:p>
    <w:p w14:paraId="13D8D071">
      <w:pPr>
        <w:spacing w:line="400" w:lineRule="exact"/>
        <w:ind w:firstLine="548" w:firstLineChars="196"/>
        <w:rPr>
          <w:rFonts w:ascii="宋体" w:hAnsi="宋体"/>
          <w:b/>
          <w:color w:val="auto"/>
          <w:sz w:val="28"/>
          <w:szCs w:val="28"/>
        </w:rPr>
      </w:pPr>
      <w:r>
        <w:rPr>
          <w:rFonts w:hint="eastAsia" w:ascii="宋体" w:hAnsi="宋体"/>
          <w:b/>
          <w:color w:val="auto"/>
          <w:sz w:val="28"/>
          <w:szCs w:val="28"/>
        </w:rPr>
        <w:t>8.响应文件有效期（实质性要求）</w:t>
      </w:r>
    </w:p>
    <w:p w14:paraId="4C54B32D">
      <w:pPr>
        <w:spacing w:line="400" w:lineRule="exact"/>
        <w:ind w:firstLine="548" w:firstLineChars="196"/>
        <w:rPr>
          <w:rFonts w:ascii="宋体" w:hAnsi="宋体"/>
          <w:color w:val="auto"/>
          <w:sz w:val="28"/>
          <w:szCs w:val="28"/>
        </w:rPr>
      </w:pPr>
      <w:r>
        <w:rPr>
          <w:rFonts w:hint="eastAsia" w:ascii="宋体" w:hAnsi="宋体"/>
          <w:color w:val="auto"/>
          <w:sz w:val="28"/>
          <w:szCs w:val="28"/>
        </w:rPr>
        <w:t>本项目响应文件有效期为递交谈判响应文件截止之日起60天。供应商响应文件中必须载明响应文件有效期，响应文件中载明的响应文件有效期可以长于谈判文件规定的期限，但不得短于谈判文件规定的期限。否则，其响应文件将作为无效响应处理。</w:t>
      </w:r>
    </w:p>
    <w:p w14:paraId="44AA44FB">
      <w:pPr>
        <w:spacing w:line="400" w:lineRule="exact"/>
        <w:ind w:firstLine="548" w:firstLineChars="196"/>
        <w:rPr>
          <w:rFonts w:ascii="宋体" w:hAnsi="宋体"/>
          <w:color w:val="auto"/>
          <w:sz w:val="28"/>
          <w:szCs w:val="28"/>
        </w:rPr>
      </w:pPr>
    </w:p>
    <w:p w14:paraId="5E5F9B0A">
      <w:pPr>
        <w:pStyle w:val="18"/>
        <w:spacing w:line="400" w:lineRule="exact"/>
        <w:ind w:firstLine="560" w:firstLineChars="200"/>
        <w:rPr>
          <w:rFonts w:ascii="宋体" w:hAnsi="宋体"/>
          <w:b/>
          <w:bCs/>
          <w:color w:val="auto"/>
          <w:sz w:val="28"/>
          <w:szCs w:val="28"/>
        </w:rPr>
      </w:pPr>
      <w:r>
        <w:rPr>
          <w:rFonts w:hint="eastAsia" w:ascii="宋体" w:hAnsi="宋体"/>
          <w:b/>
          <w:color w:val="auto"/>
          <w:sz w:val="28"/>
          <w:szCs w:val="28"/>
        </w:rPr>
        <w:t>9.</w:t>
      </w:r>
      <w:r>
        <w:rPr>
          <w:rFonts w:hint="eastAsia" w:ascii="宋体" w:hAnsi="宋体"/>
          <w:b/>
          <w:bCs/>
          <w:color w:val="auto"/>
          <w:sz w:val="28"/>
          <w:szCs w:val="28"/>
        </w:rPr>
        <w:t>知识产权（实质性要求）</w:t>
      </w:r>
    </w:p>
    <w:p w14:paraId="0511AF34">
      <w:pPr>
        <w:pStyle w:val="18"/>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.1</w:t>
      </w:r>
      <w:r>
        <w:rPr>
          <w:rFonts w:hint="eastAsia" w:ascii="宋体" w:hAnsi="宋体"/>
          <w:color w:val="auto"/>
          <w:sz w:val="28"/>
          <w:szCs w:val="28"/>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44CBFEF">
      <w:pPr>
        <w:pStyle w:val="18"/>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.2</w:t>
      </w:r>
      <w:r>
        <w:rPr>
          <w:rFonts w:hint="eastAsia" w:ascii="宋体" w:hAnsi="宋体"/>
          <w:color w:val="auto"/>
          <w:sz w:val="28"/>
          <w:szCs w:val="28"/>
        </w:rPr>
        <w:t xml:space="preserve"> 除非谈判文件特别规定，采购人享有本项目实施过程中产生的知识成果及知识产权。</w:t>
      </w:r>
    </w:p>
    <w:p w14:paraId="581E6103">
      <w:pPr>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.3</w:t>
      </w:r>
      <w:r>
        <w:rPr>
          <w:rFonts w:hint="eastAsia" w:ascii="宋体" w:hAnsi="宋体"/>
          <w:color w:val="auto"/>
          <w:sz w:val="28"/>
          <w:szCs w:val="28"/>
        </w:rPr>
        <w:t xml:space="preserve">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05AD18C3">
      <w:pPr>
        <w:spacing w:line="400" w:lineRule="exact"/>
        <w:ind w:firstLine="537" w:firstLineChars="192"/>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.4</w:t>
      </w:r>
      <w:r>
        <w:rPr>
          <w:rFonts w:hint="eastAsia" w:ascii="宋体" w:hAnsi="宋体"/>
          <w:color w:val="auto"/>
          <w:sz w:val="28"/>
          <w:szCs w:val="28"/>
        </w:rPr>
        <w:t xml:space="preserve"> 如采用供应商所不拥有的知识产权，则在报价中必须包括合法获取该知识产权的相关费用。 </w:t>
      </w:r>
    </w:p>
    <w:p w14:paraId="47196BFE">
      <w:pPr>
        <w:pStyle w:val="3"/>
        <w:keepNext w:val="0"/>
        <w:keepLines w:val="0"/>
        <w:spacing w:before="0" w:after="0" w:line="400" w:lineRule="exact"/>
        <w:jc w:val="center"/>
        <w:rPr>
          <w:rFonts w:ascii="黑体"/>
          <w:bCs w:val="0"/>
          <w:color w:val="auto"/>
          <w:sz w:val="28"/>
          <w:szCs w:val="28"/>
        </w:rPr>
      </w:pPr>
      <w:bookmarkStart w:id="35" w:name="_Toc89075875"/>
      <w:bookmarkStart w:id="36" w:name="_Toc183682346"/>
      <w:bookmarkStart w:id="37" w:name="_Toc217446038"/>
      <w:bookmarkStart w:id="38" w:name="_Toc77400779"/>
      <w:bookmarkStart w:id="39" w:name="_Toc183582209"/>
    </w:p>
    <w:p w14:paraId="72893697">
      <w:pPr>
        <w:pStyle w:val="3"/>
        <w:keepNext w:val="0"/>
        <w:keepLines w:val="0"/>
        <w:spacing w:before="0" w:after="0" w:line="400" w:lineRule="exact"/>
        <w:jc w:val="center"/>
        <w:rPr>
          <w:rFonts w:ascii="黑体"/>
          <w:bCs w:val="0"/>
          <w:color w:val="auto"/>
          <w:sz w:val="28"/>
          <w:szCs w:val="28"/>
        </w:rPr>
      </w:pPr>
      <w:r>
        <w:rPr>
          <w:rFonts w:hint="eastAsia" w:ascii="黑体"/>
          <w:bCs w:val="0"/>
          <w:color w:val="auto"/>
          <w:sz w:val="28"/>
          <w:szCs w:val="28"/>
        </w:rPr>
        <w:t>三、谈判文件</w:t>
      </w:r>
      <w:bookmarkEnd w:id="35"/>
      <w:bookmarkEnd w:id="36"/>
      <w:bookmarkEnd w:id="37"/>
      <w:bookmarkEnd w:id="38"/>
      <w:bookmarkEnd w:id="39"/>
    </w:p>
    <w:p w14:paraId="2089CA2E">
      <w:pPr>
        <w:pStyle w:val="4"/>
        <w:keepNext w:val="0"/>
        <w:keepLines w:val="0"/>
        <w:spacing w:before="0" w:after="0" w:line="400" w:lineRule="exact"/>
        <w:ind w:firstLine="560" w:firstLineChars="200"/>
        <w:rPr>
          <w:rFonts w:ascii="宋体" w:hAnsi="宋体"/>
          <w:color w:val="auto"/>
          <w:sz w:val="28"/>
          <w:szCs w:val="28"/>
        </w:rPr>
      </w:pPr>
      <w:bookmarkStart w:id="40" w:name="_Toc183682347"/>
      <w:bookmarkStart w:id="41" w:name="_Toc183582210"/>
      <w:bookmarkStart w:id="42" w:name="_Toc217446039"/>
    </w:p>
    <w:p w14:paraId="73614E2A">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10．谈判文件的构成</w:t>
      </w:r>
      <w:bookmarkEnd w:id="40"/>
      <w:bookmarkEnd w:id="41"/>
      <w:bookmarkEnd w:id="42"/>
      <w:r>
        <w:rPr>
          <w:rFonts w:hint="eastAsia" w:ascii="宋体" w:hAnsi="宋体"/>
          <w:color w:val="auto"/>
          <w:sz w:val="28"/>
          <w:szCs w:val="28"/>
        </w:rPr>
        <w:t>（实质性要求）</w:t>
      </w:r>
    </w:p>
    <w:p w14:paraId="09A065E6">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10</w:t>
      </w:r>
      <w:r>
        <w:rPr>
          <w:rFonts w:ascii="宋体" w:hAnsi="宋体"/>
          <w:b/>
          <w:bCs/>
          <w:color w:val="auto"/>
          <w:sz w:val="28"/>
          <w:szCs w:val="28"/>
        </w:rPr>
        <w:t>.</w:t>
      </w:r>
      <w:r>
        <w:rPr>
          <w:rFonts w:hint="eastAsia" w:ascii="宋体" w:hAnsi="宋体"/>
          <w:color w:val="auto"/>
          <w:sz w:val="28"/>
          <w:szCs w:val="28"/>
        </w:rPr>
        <w:t>1 谈判文件是供应商准备响应文件和参加谈判的依据，同时也是谈判的重要依据。谈判文件用以阐明谈判项目所需的资质、技术、服务及报价等要求、谈判程序、有关规定和注意事项以及合同主要条款等。</w:t>
      </w:r>
    </w:p>
    <w:p w14:paraId="525DCD0D">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10</w:t>
      </w:r>
      <w:r>
        <w:rPr>
          <w:rFonts w:hint="eastAsia" w:ascii="宋体" w:hAnsi="宋体"/>
          <w:b/>
          <w:bCs/>
          <w:color w:val="auto"/>
          <w:sz w:val="28"/>
          <w:szCs w:val="28"/>
        </w:rPr>
        <w:t>.</w:t>
      </w:r>
      <w:r>
        <w:rPr>
          <w:rFonts w:hint="eastAsia" w:ascii="宋体" w:hAnsi="宋体"/>
          <w:color w:val="auto"/>
          <w:sz w:val="28"/>
          <w:szCs w:val="28"/>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14:paraId="3C38F6D5">
      <w:pPr>
        <w:pStyle w:val="4"/>
        <w:keepNext w:val="0"/>
        <w:keepLines w:val="0"/>
        <w:spacing w:before="0" w:after="0" w:line="400" w:lineRule="exact"/>
        <w:ind w:firstLine="560" w:firstLineChars="200"/>
        <w:rPr>
          <w:rFonts w:ascii="宋体" w:hAnsi="宋体"/>
          <w:color w:val="auto"/>
          <w:sz w:val="28"/>
          <w:szCs w:val="28"/>
        </w:rPr>
      </w:pPr>
      <w:bookmarkStart w:id="43" w:name="_Toc183682348"/>
      <w:bookmarkStart w:id="44" w:name="_Toc183582211"/>
      <w:bookmarkStart w:id="45" w:name="_Toc217446040"/>
    </w:p>
    <w:p w14:paraId="02277E3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11. 谈判文件的澄清</w:t>
      </w:r>
      <w:bookmarkEnd w:id="43"/>
      <w:bookmarkEnd w:id="44"/>
      <w:r>
        <w:rPr>
          <w:rFonts w:hint="eastAsia" w:ascii="宋体" w:hAnsi="宋体"/>
          <w:color w:val="auto"/>
          <w:sz w:val="28"/>
          <w:szCs w:val="28"/>
        </w:rPr>
        <w:t>和修改</w:t>
      </w:r>
      <w:bookmarkEnd w:id="45"/>
    </w:p>
    <w:p w14:paraId="293C5360">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11.1 在递交响应文件截止时间前，采购人、采购代理机构可以对谈判文件进行澄清或者修改。</w:t>
      </w:r>
    </w:p>
    <w:p w14:paraId="31EC7DF4">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11.2 采购代理机构对已发出的谈判文件进行澄清或者修改，应当以书面形式将澄清或者修改的内容通知所有购买了谈判文件的供应商。该澄清或者修改的内容为谈判文件的组成部分，澄清或者修改的内容可能影响响应文件编制的，采购人或者采购代理机构发布公告并书面通知供应商的时间，应当在</w:t>
      </w:r>
      <w:r>
        <w:rPr>
          <w:rFonts w:hint="eastAsia" w:ascii="宋体" w:hAnsi="宋体" w:cs="宋体"/>
          <w:color w:val="auto"/>
          <w:sz w:val="28"/>
          <w:szCs w:val="28"/>
        </w:rPr>
        <w:t>提交</w:t>
      </w:r>
      <w:r>
        <w:rPr>
          <w:rFonts w:hint="eastAsia" w:ascii="宋体" w:hAnsi="宋体"/>
          <w:color w:val="auto"/>
          <w:sz w:val="28"/>
          <w:szCs w:val="28"/>
        </w:rPr>
        <w:t>首次响应文件截止之日起3个工作日前；不足上述时间的，应当顺延递交响应文件的截止时间。</w:t>
      </w:r>
    </w:p>
    <w:p w14:paraId="46A122D1">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11.3供应商认为采购人需要对谈判文件进行澄清或者修改的，可以在响应文件提交截止前以书面形式向采购人提出申请，由采购人决定是否采纳供应商的申请事项。</w:t>
      </w:r>
    </w:p>
    <w:p w14:paraId="6480417D">
      <w:pPr>
        <w:pStyle w:val="4"/>
        <w:keepNext w:val="0"/>
        <w:keepLines w:val="0"/>
        <w:spacing w:before="0" w:after="0" w:line="400" w:lineRule="exact"/>
        <w:ind w:firstLine="560" w:firstLineChars="200"/>
        <w:rPr>
          <w:rFonts w:ascii="宋体" w:hAnsi="宋体"/>
          <w:color w:val="auto"/>
          <w:sz w:val="28"/>
          <w:szCs w:val="28"/>
        </w:rPr>
      </w:pPr>
    </w:p>
    <w:p w14:paraId="450AEB0B">
      <w:pPr>
        <w:pStyle w:val="4"/>
        <w:keepNext w:val="0"/>
        <w:keepLines w:val="0"/>
        <w:spacing w:before="0" w:after="0" w:line="400" w:lineRule="exact"/>
        <w:ind w:firstLine="560" w:firstLineChars="200"/>
        <w:rPr>
          <w:rFonts w:ascii="宋体" w:hAnsi="宋体"/>
          <w:color w:val="auto"/>
          <w:sz w:val="28"/>
          <w:szCs w:val="28"/>
        </w:rPr>
      </w:pPr>
      <w:bookmarkStart w:id="46" w:name="_Toc217446041"/>
      <w:bookmarkStart w:id="47" w:name="_Toc208848971"/>
      <w:r>
        <w:rPr>
          <w:rFonts w:hint="eastAsia" w:ascii="宋体" w:hAnsi="宋体"/>
          <w:color w:val="auto"/>
          <w:sz w:val="28"/>
          <w:szCs w:val="28"/>
        </w:rPr>
        <w:t>12. 答疑会和现场考察</w:t>
      </w:r>
      <w:bookmarkEnd w:id="46"/>
      <w:bookmarkEnd w:id="47"/>
    </w:p>
    <w:p w14:paraId="24B34D3D">
      <w:pPr>
        <w:spacing w:line="400" w:lineRule="exact"/>
        <w:ind w:firstLine="560" w:firstLineChars="200"/>
        <w:rPr>
          <w:rFonts w:ascii="宋体" w:hAnsi="宋体"/>
          <w:color w:val="auto"/>
          <w:sz w:val="28"/>
          <w:szCs w:val="28"/>
        </w:rPr>
      </w:pPr>
      <w:r>
        <w:rPr>
          <w:rFonts w:hint="eastAsia" w:ascii="宋体" w:hAnsi="宋体"/>
          <w:color w:val="auto"/>
          <w:sz w:val="28"/>
          <w:szCs w:val="28"/>
        </w:rPr>
        <w:t>12.1 根据采购项目和具体情况，采购人、采购代理机构认为有必要，可以在谈判文件提供期限截止后响应文件提交截止前，组织已获取谈判文件的潜在供应商现场考察或者召开答疑会。</w:t>
      </w:r>
    </w:p>
    <w:p w14:paraId="4C821CBC">
      <w:pPr>
        <w:spacing w:line="400" w:lineRule="exact"/>
        <w:ind w:firstLine="560" w:firstLineChars="200"/>
        <w:rPr>
          <w:rFonts w:ascii="宋体" w:hAnsi="宋体"/>
          <w:color w:val="auto"/>
          <w:sz w:val="28"/>
          <w:szCs w:val="28"/>
        </w:rPr>
      </w:pPr>
      <w:r>
        <w:rPr>
          <w:rFonts w:hint="eastAsia" w:ascii="宋体" w:hAnsi="宋体"/>
          <w:color w:val="auto"/>
          <w:sz w:val="28"/>
          <w:szCs w:val="28"/>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30B13556">
      <w:pPr>
        <w:adjustRightInd w:val="0"/>
        <w:snapToGrid w:val="0"/>
        <w:spacing w:line="400" w:lineRule="exact"/>
        <w:ind w:firstLine="490" w:firstLineChars="175"/>
        <w:rPr>
          <w:rFonts w:ascii="宋体" w:hAnsi="宋体"/>
          <w:color w:val="auto"/>
          <w:sz w:val="28"/>
          <w:szCs w:val="28"/>
        </w:rPr>
      </w:pPr>
      <w:r>
        <w:rPr>
          <w:rFonts w:hint="eastAsia" w:ascii="宋体" w:hAnsi="宋体"/>
          <w:color w:val="auto"/>
          <w:sz w:val="28"/>
          <w:szCs w:val="28"/>
        </w:rPr>
        <w:t>12</w:t>
      </w:r>
      <w:r>
        <w:rPr>
          <w:rFonts w:ascii="宋体" w:hAnsi="宋体"/>
          <w:color w:val="auto"/>
          <w:sz w:val="28"/>
          <w:szCs w:val="28"/>
        </w:rPr>
        <w:t>.</w:t>
      </w:r>
      <w:r>
        <w:rPr>
          <w:rFonts w:hint="eastAsia" w:ascii="宋体" w:hAnsi="宋体"/>
          <w:color w:val="auto"/>
          <w:sz w:val="28"/>
          <w:szCs w:val="28"/>
        </w:rPr>
        <w:t>3 供应商自行承担参加答疑会和现场考察的一切费用。</w:t>
      </w:r>
    </w:p>
    <w:p w14:paraId="0D3EE563">
      <w:pPr>
        <w:pStyle w:val="3"/>
        <w:keepNext w:val="0"/>
        <w:keepLines w:val="0"/>
        <w:spacing w:before="0" w:after="0" w:line="400" w:lineRule="exact"/>
        <w:jc w:val="center"/>
        <w:rPr>
          <w:rFonts w:ascii="黑体"/>
          <w:bCs w:val="0"/>
          <w:color w:val="auto"/>
          <w:sz w:val="28"/>
          <w:szCs w:val="28"/>
        </w:rPr>
      </w:pPr>
      <w:bookmarkStart w:id="48" w:name="_Toc77400780"/>
      <w:bookmarkStart w:id="49" w:name="_Toc183682351"/>
      <w:bookmarkStart w:id="50" w:name="_Toc217446042"/>
      <w:bookmarkStart w:id="51" w:name="_Toc89075876"/>
      <w:bookmarkStart w:id="52" w:name="_Toc183582214"/>
    </w:p>
    <w:p w14:paraId="2381376B">
      <w:pPr>
        <w:pStyle w:val="3"/>
        <w:keepNext w:val="0"/>
        <w:keepLines w:val="0"/>
        <w:spacing w:before="0" w:after="0" w:line="400" w:lineRule="exact"/>
        <w:jc w:val="center"/>
        <w:rPr>
          <w:rFonts w:ascii="黑体"/>
          <w:bCs w:val="0"/>
          <w:color w:val="auto"/>
          <w:sz w:val="28"/>
          <w:szCs w:val="28"/>
        </w:rPr>
      </w:pPr>
      <w:r>
        <w:rPr>
          <w:rFonts w:hint="eastAsia" w:ascii="黑体"/>
          <w:bCs w:val="0"/>
          <w:color w:val="auto"/>
          <w:sz w:val="28"/>
          <w:szCs w:val="28"/>
        </w:rPr>
        <w:t>四、响应文件</w:t>
      </w:r>
      <w:bookmarkEnd w:id="48"/>
      <w:bookmarkEnd w:id="49"/>
      <w:bookmarkEnd w:id="50"/>
      <w:bookmarkEnd w:id="51"/>
      <w:bookmarkEnd w:id="52"/>
    </w:p>
    <w:p w14:paraId="72DB6044">
      <w:pPr>
        <w:pStyle w:val="4"/>
        <w:keepNext w:val="0"/>
        <w:keepLines w:val="0"/>
        <w:spacing w:before="0" w:after="0" w:line="400" w:lineRule="exact"/>
        <w:ind w:firstLine="560" w:firstLineChars="200"/>
        <w:rPr>
          <w:rFonts w:ascii="宋体" w:hAnsi="宋体"/>
          <w:bCs w:val="0"/>
          <w:color w:val="auto"/>
          <w:sz w:val="28"/>
          <w:szCs w:val="28"/>
        </w:rPr>
      </w:pPr>
      <w:bookmarkStart w:id="53" w:name="_Toc217446043"/>
      <w:bookmarkStart w:id="54" w:name="_Toc183582215"/>
      <w:bookmarkStart w:id="55" w:name="_Toc183682352"/>
    </w:p>
    <w:p w14:paraId="1DECFB31">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13.响应文件的组成（实质性要求）</w:t>
      </w:r>
    </w:p>
    <w:p w14:paraId="090A7E68">
      <w:pPr>
        <w:pStyle w:val="4"/>
        <w:keepNext w:val="0"/>
        <w:keepLines w:val="0"/>
        <w:spacing w:before="0" w:after="0" w:line="400" w:lineRule="exact"/>
        <w:ind w:firstLine="560" w:firstLineChars="200"/>
        <w:rPr>
          <w:rFonts w:ascii="宋体" w:hAnsi="宋体"/>
          <w:b w:val="0"/>
          <w:color w:val="auto"/>
          <w:sz w:val="28"/>
          <w:szCs w:val="28"/>
        </w:rPr>
      </w:pPr>
      <w:r>
        <w:rPr>
          <w:rFonts w:hint="eastAsia" w:ascii="宋体" w:hAnsi="宋体"/>
          <w:b w:val="0"/>
          <w:color w:val="auto"/>
          <w:sz w:val="28"/>
          <w:szCs w:val="28"/>
        </w:rPr>
        <w:t>供应商应按照谈判文件的规定和要求编制响应文件。供应商在成交后将成交项目的非主体、非关键性工作分包他人完成的，应当在响应文件中载明或谈判过程中澄清。</w:t>
      </w:r>
    </w:p>
    <w:p w14:paraId="25B61F19">
      <w:pPr>
        <w:spacing w:line="400" w:lineRule="exact"/>
        <w:ind w:left="2" w:leftChars="1" w:firstLine="560" w:firstLineChars="200"/>
        <w:rPr>
          <w:color w:val="auto"/>
          <w:sz w:val="28"/>
          <w:szCs w:val="28"/>
        </w:rPr>
      </w:pPr>
    </w:p>
    <w:p w14:paraId="4CB7AF94">
      <w:pPr>
        <w:pStyle w:val="4"/>
        <w:keepNext w:val="0"/>
        <w:keepLines w:val="0"/>
        <w:spacing w:before="0" w:after="0" w:line="400" w:lineRule="exact"/>
        <w:ind w:firstLine="560" w:firstLineChars="200"/>
        <w:rPr>
          <w:rFonts w:ascii="宋体" w:hAnsi="宋体"/>
          <w:bCs w:val="0"/>
          <w:color w:val="auto"/>
          <w:sz w:val="28"/>
          <w:szCs w:val="28"/>
        </w:rPr>
      </w:pPr>
      <w:r>
        <w:rPr>
          <w:rFonts w:hint="eastAsia" w:ascii="宋体" w:hAnsi="宋体"/>
          <w:bCs w:val="0"/>
          <w:color w:val="auto"/>
          <w:sz w:val="28"/>
          <w:szCs w:val="28"/>
        </w:rPr>
        <w:t>14.响应文件的语言</w:t>
      </w:r>
      <w:bookmarkEnd w:id="53"/>
      <w:bookmarkEnd w:id="54"/>
      <w:bookmarkEnd w:id="55"/>
      <w:r>
        <w:rPr>
          <w:rFonts w:hint="eastAsia" w:ascii="宋体" w:hAnsi="宋体"/>
          <w:bCs w:val="0"/>
          <w:color w:val="auto"/>
          <w:sz w:val="28"/>
          <w:szCs w:val="28"/>
        </w:rPr>
        <w:t>（实质性要求）</w:t>
      </w:r>
    </w:p>
    <w:p w14:paraId="64E8A46B">
      <w:pPr>
        <w:spacing w:line="400" w:lineRule="exact"/>
        <w:ind w:firstLine="560" w:firstLineChars="200"/>
        <w:rPr>
          <w:rFonts w:ascii="宋体" w:hAnsi="宋体"/>
          <w:color w:val="auto"/>
          <w:sz w:val="28"/>
          <w:szCs w:val="28"/>
        </w:rPr>
      </w:pPr>
      <w:r>
        <w:rPr>
          <w:rFonts w:hint="eastAsia" w:ascii="宋体" w:hAnsi="宋体"/>
          <w:color w:val="auto"/>
          <w:sz w:val="28"/>
          <w:szCs w:val="28"/>
        </w:rPr>
        <w:t>14.1</w:t>
      </w:r>
      <w:r>
        <w:rPr>
          <w:rFonts w:hint="eastAsia"/>
          <w:color w:val="auto"/>
          <w:sz w:val="28"/>
          <w:szCs w:val="28"/>
        </w:rPr>
        <w:t xml:space="preserve"> </w:t>
      </w:r>
      <w:r>
        <w:rPr>
          <w:rFonts w:hint="eastAsia" w:ascii="宋体" w:hAnsi="宋体"/>
          <w:color w:val="auto"/>
          <w:sz w:val="28"/>
          <w:szCs w:val="28"/>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72BCA379">
      <w:pPr>
        <w:spacing w:line="400" w:lineRule="exact"/>
        <w:ind w:firstLine="560" w:firstLineChars="200"/>
        <w:rPr>
          <w:rFonts w:ascii="宋体" w:hAnsi="宋体"/>
          <w:color w:val="auto"/>
          <w:sz w:val="28"/>
          <w:szCs w:val="28"/>
        </w:rPr>
      </w:pPr>
      <w:r>
        <w:rPr>
          <w:rFonts w:hint="eastAsia" w:ascii="宋体" w:hAnsi="宋体"/>
          <w:color w:val="auto"/>
          <w:sz w:val="28"/>
          <w:szCs w:val="28"/>
        </w:rPr>
        <w:t>14.2 翻译的中文资料与外文资料如果出现差异和矛盾，以中文为准。但不能故意错误翻译，否则，供应商的响应文件将作为无效处理。</w:t>
      </w:r>
    </w:p>
    <w:p w14:paraId="3EED30FC">
      <w:pPr>
        <w:pStyle w:val="4"/>
        <w:keepNext w:val="0"/>
        <w:keepLines w:val="0"/>
        <w:spacing w:before="0" w:after="0" w:line="400" w:lineRule="exact"/>
        <w:ind w:firstLine="560" w:firstLineChars="200"/>
        <w:rPr>
          <w:rFonts w:ascii="宋体" w:hAnsi="宋体"/>
          <w:color w:val="auto"/>
          <w:sz w:val="28"/>
          <w:szCs w:val="28"/>
        </w:rPr>
      </w:pPr>
      <w:bookmarkStart w:id="56" w:name="_Toc183582216"/>
      <w:bookmarkStart w:id="57" w:name="_Toc217446044"/>
      <w:bookmarkStart w:id="58" w:name="_Toc183682353"/>
    </w:p>
    <w:p w14:paraId="21636FD3">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15．计量单位</w:t>
      </w:r>
      <w:bookmarkEnd w:id="56"/>
      <w:bookmarkEnd w:id="57"/>
      <w:bookmarkEnd w:id="58"/>
      <w:r>
        <w:rPr>
          <w:rFonts w:hint="eastAsia" w:ascii="宋体" w:hAnsi="宋体"/>
          <w:color w:val="auto"/>
          <w:sz w:val="28"/>
          <w:szCs w:val="28"/>
        </w:rPr>
        <w:t>（实质性要求）</w:t>
      </w:r>
    </w:p>
    <w:p w14:paraId="6907A976">
      <w:pPr>
        <w:spacing w:line="400" w:lineRule="exact"/>
        <w:ind w:firstLine="548" w:firstLineChars="196"/>
        <w:rPr>
          <w:rFonts w:ascii="宋体" w:hAnsi="宋体"/>
          <w:color w:val="auto"/>
          <w:sz w:val="28"/>
          <w:szCs w:val="28"/>
        </w:rPr>
      </w:pPr>
      <w:r>
        <w:rPr>
          <w:rFonts w:hint="eastAsia" w:ascii="宋体" w:hAnsi="宋体"/>
          <w:color w:val="auto"/>
          <w:sz w:val="28"/>
          <w:szCs w:val="28"/>
        </w:rPr>
        <w:t>除谈判文件中另有规定外，本次采购项目所有合同项下的报价均采用国家法定的计量单位。</w:t>
      </w:r>
    </w:p>
    <w:p w14:paraId="56F315B1">
      <w:pPr>
        <w:spacing w:line="400" w:lineRule="exact"/>
        <w:ind w:firstLine="546" w:firstLineChars="195"/>
        <w:rPr>
          <w:rFonts w:ascii="宋体" w:hAnsi="宋体"/>
          <w:b/>
          <w:bCs/>
          <w:color w:val="auto"/>
          <w:sz w:val="28"/>
          <w:szCs w:val="28"/>
        </w:rPr>
      </w:pPr>
      <w:r>
        <w:rPr>
          <w:rFonts w:hint="eastAsia" w:ascii="宋体" w:hAnsi="宋体"/>
          <w:color w:val="auto"/>
          <w:sz w:val="28"/>
          <w:szCs w:val="28"/>
        </w:rPr>
        <w:t xml:space="preserve"> </w:t>
      </w:r>
      <w:bookmarkStart w:id="59" w:name="_Toc217446045"/>
      <w:r>
        <w:rPr>
          <w:rFonts w:hint="eastAsia" w:ascii="宋体" w:hAnsi="宋体"/>
          <w:color w:val="auto"/>
          <w:sz w:val="28"/>
          <w:szCs w:val="28"/>
        </w:rPr>
        <w:t xml:space="preserve">  </w:t>
      </w:r>
    </w:p>
    <w:p w14:paraId="0CF99DA4">
      <w:pPr>
        <w:spacing w:line="400" w:lineRule="exact"/>
        <w:ind w:firstLine="546" w:firstLineChars="195"/>
        <w:rPr>
          <w:rFonts w:ascii="宋体" w:hAnsi="宋体"/>
          <w:b/>
          <w:bCs/>
          <w:color w:val="auto"/>
          <w:sz w:val="28"/>
          <w:szCs w:val="28"/>
        </w:rPr>
      </w:pPr>
      <w:r>
        <w:rPr>
          <w:rFonts w:hint="eastAsia" w:ascii="宋体" w:hAnsi="宋体"/>
          <w:b/>
          <w:bCs/>
          <w:color w:val="auto"/>
          <w:sz w:val="28"/>
          <w:szCs w:val="28"/>
        </w:rPr>
        <w:t xml:space="preserve">16. </w:t>
      </w:r>
      <w:r>
        <w:rPr>
          <w:rFonts w:hint="eastAsia" w:ascii="宋体" w:hAnsi="宋体"/>
          <w:b/>
          <w:color w:val="auto"/>
          <w:sz w:val="28"/>
          <w:szCs w:val="28"/>
        </w:rPr>
        <w:t>报价</w:t>
      </w:r>
      <w:r>
        <w:rPr>
          <w:rFonts w:hint="eastAsia" w:ascii="宋体" w:hAnsi="宋体"/>
          <w:b/>
          <w:bCs/>
          <w:color w:val="auto"/>
          <w:sz w:val="28"/>
          <w:szCs w:val="28"/>
        </w:rPr>
        <w:t>货币（实质性要求）</w:t>
      </w:r>
    </w:p>
    <w:p w14:paraId="45D605C4">
      <w:pPr>
        <w:spacing w:line="400" w:lineRule="exact"/>
        <w:ind w:firstLine="546" w:firstLineChars="195"/>
        <w:rPr>
          <w:rFonts w:ascii="宋体" w:hAnsi="宋体"/>
          <w:bCs/>
          <w:color w:val="auto"/>
          <w:sz w:val="28"/>
          <w:szCs w:val="28"/>
        </w:rPr>
      </w:pPr>
      <w:r>
        <w:rPr>
          <w:rFonts w:hint="eastAsia" w:ascii="宋体" w:hAnsi="宋体"/>
          <w:bCs/>
          <w:color w:val="auto"/>
          <w:sz w:val="28"/>
          <w:szCs w:val="28"/>
        </w:rPr>
        <w:t>本次</w:t>
      </w:r>
      <w:r>
        <w:rPr>
          <w:rFonts w:hint="eastAsia" w:ascii="宋体" w:hAnsi="宋体"/>
          <w:color w:val="auto"/>
          <w:sz w:val="28"/>
          <w:szCs w:val="28"/>
        </w:rPr>
        <w:t>谈判</w:t>
      </w:r>
      <w:r>
        <w:rPr>
          <w:rFonts w:hint="eastAsia" w:ascii="宋体" w:hAnsi="宋体"/>
          <w:bCs/>
          <w:color w:val="auto"/>
          <w:sz w:val="28"/>
          <w:szCs w:val="28"/>
        </w:rPr>
        <w:t>项目的</w:t>
      </w:r>
      <w:r>
        <w:rPr>
          <w:rFonts w:hint="eastAsia" w:ascii="宋体" w:hAnsi="宋体"/>
          <w:color w:val="auto"/>
          <w:sz w:val="28"/>
          <w:szCs w:val="28"/>
        </w:rPr>
        <w:t>报价货币为</w:t>
      </w:r>
      <w:r>
        <w:rPr>
          <w:rFonts w:hint="eastAsia" w:ascii="宋体" w:hAnsi="宋体"/>
          <w:bCs/>
          <w:color w:val="auto"/>
          <w:sz w:val="28"/>
          <w:szCs w:val="28"/>
        </w:rPr>
        <w:t>人民币，报价以</w:t>
      </w:r>
      <w:r>
        <w:rPr>
          <w:rFonts w:hint="eastAsia" w:ascii="宋体" w:hAnsi="宋体"/>
          <w:color w:val="auto"/>
          <w:sz w:val="28"/>
          <w:szCs w:val="28"/>
        </w:rPr>
        <w:t>谈判</w:t>
      </w:r>
      <w:r>
        <w:rPr>
          <w:rFonts w:hint="eastAsia" w:ascii="宋体" w:hAnsi="宋体"/>
          <w:bCs/>
          <w:color w:val="auto"/>
          <w:sz w:val="28"/>
          <w:szCs w:val="28"/>
        </w:rPr>
        <w:t>文件约定为准。</w:t>
      </w:r>
    </w:p>
    <w:p w14:paraId="6112F466">
      <w:pPr>
        <w:spacing w:line="400" w:lineRule="exact"/>
        <w:ind w:firstLine="546" w:firstLineChars="195"/>
        <w:rPr>
          <w:rFonts w:ascii="宋体" w:hAnsi="宋体"/>
          <w:b/>
          <w:bCs/>
          <w:color w:val="auto"/>
          <w:sz w:val="28"/>
          <w:szCs w:val="28"/>
        </w:rPr>
      </w:pPr>
    </w:p>
    <w:bookmarkEnd w:id="59"/>
    <w:p w14:paraId="07C29D6E">
      <w:pPr>
        <w:spacing w:line="400" w:lineRule="exact"/>
        <w:ind w:left="2" w:leftChars="1" w:firstLine="560" w:firstLineChars="200"/>
        <w:rPr>
          <w:rFonts w:ascii="宋体" w:hAnsi="宋体"/>
          <w:b/>
          <w:color w:val="auto"/>
          <w:sz w:val="28"/>
          <w:szCs w:val="28"/>
        </w:rPr>
      </w:pPr>
      <w:r>
        <w:rPr>
          <w:rFonts w:hint="eastAsia" w:ascii="宋体" w:hAnsi="宋体"/>
          <w:b/>
          <w:color w:val="auto"/>
          <w:sz w:val="28"/>
          <w:szCs w:val="28"/>
        </w:rPr>
        <w:t>17.响应文件格式</w:t>
      </w:r>
    </w:p>
    <w:p w14:paraId="0D47E5E2">
      <w:pPr>
        <w:spacing w:line="400" w:lineRule="exact"/>
        <w:ind w:left="2" w:leftChars="1" w:firstLine="560" w:firstLineChars="200"/>
        <w:rPr>
          <w:rFonts w:ascii="宋体" w:hAnsi="宋体"/>
          <w:color w:val="auto"/>
          <w:sz w:val="28"/>
          <w:szCs w:val="28"/>
        </w:rPr>
      </w:pPr>
      <w:r>
        <w:rPr>
          <w:rFonts w:hint="eastAsia" w:ascii="宋体" w:hAnsi="宋体"/>
          <w:color w:val="auto"/>
          <w:sz w:val="28"/>
          <w:szCs w:val="28"/>
        </w:rPr>
        <w:t>17.1 供应商应执行谈判文件第八章的规定要求。</w:t>
      </w:r>
    </w:p>
    <w:p w14:paraId="41851270">
      <w:pPr>
        <w:spacing w:line="400" w:lineRule="exact"/>
        <w:ind w:left="2" w:leftChars="1" w:firstLine="560" w:firstLineChars="200"/>
        <w:rPr>
          <w:rFonts w:ascii="宋体" w:hAnsi="宋体"/>
          <w:color w:val="auto"/>
          <w:sz w:val="28"/>
          <w:szCs w:val="28"/>
        </w:rPr>
      </w:pPr>
      <w:r>
        <w:rPr>
          <w:rFonts w:hint="eastAsia" w:ascii="宋体" w:hAnsi="宋体"/>
          <w:color w:val="auto"/>
          <w:sz w:val="28"/>
          <w:szCs w:val="28"/>
        </w:rPr>
        <w:t>17.2 对于没有格式要求的谈判文件由供应商自行编写。</w:t>
      </w:r>
    </w:p>
    <w:p w14:paraId="082A5759">
      <w:pPr>
        <w:spacing w:line="400" w:lineRule="exact"/>
        <w:ind w:firstLine="548" w:firstLineChars="196"/>
        <w:rPr>
          <w:rFonts w:ascii="宋体" w:hAnsi="宋体"/>
          <w:color w:val="auto"/>
          <w:sz w:val="28"/>
          <w:szCs w:val="28"/>
        </w:rPr>
      </w:pPr>
      <w:bookmarkStart w:id="60" w:name="_Toc217446051"/>
      <w:bookmarkStart w:id="61" w:name="_Toc183582224"/>
      <w:bookmarkStart w:id="62" w:name="_Toc183682361"/>
    </w:p>
    <w:p w14:paraId="2618D569">
      <w:pPr>
        <w:spacing w:line="400" w:lineRule="exact"/>
        <w:ind w:firstLine="548" w:firstLineChars="196"/>
        <w:rPr>
          <w:rFonts w:ascii="宋体" w:hAnsi="宋体"/>
          <w:b/>
          <w:color w:val="auto"/>
          <w:sz w:val="28"/>
          <w:szCs w:val="28"/>
        </w:rPr>
      </w:pPr>
      <w:r>
        <w:rPr>
          <w:rFonts w:hint="eastAsia" w:ascii="宋体" w:hAnsi="宋体"/>
          <w:b/>
          <w:color w:val="auto"/>
          <w:sz w:val="28"/>
          <w:szCs w:val="28"/>
        </w:rPr>
        <w:t>18.响应文件的编制和签署</w:t>
      </w:r>
    </w:p>
    <w:p w14:paraId="25978F22">
      <w:pPr>
        <w:spacing w:line="400" w:lineRule="exact"/>
        <w:ind w:firstLine="548" w:firstLineChars="196"/>
        <w:rPr>
          <w:rFonts w:ascii="宋体" w:hAnsi="宋体"/>
          <w:color w:val="auto"/>
          <w:sz w:val="28"/>
          <w:szCs w:val="28"/>
        </w:rPr>
      </w:pPr>
      <w:r>
        <w:rPr>
          <w:rFonts w:hint="eastAsia" w:ascii="宋体" w:hAnsi="宋体"/>
          <w:color w:val="auto"/>
          <w:sz w:val="28"/>
          <w:szCs w:val="28"/>
        </w:rPr>
        <w:t xml:space="preserve">18.1 </w:t>
      </w:r>
      <w:r>
        <w:rPr>
          <w:rFonts w:hint="eastAsia" w:ascii="宋体" w:hAnsi="宋体" w:cs="宋体"/>
          <w:color w:val="auto"/>
          <w:sz w:val="28"/>
          <w:szCs w:val="28"/>
        </w:rPr>
        <w:t>供应商按谈判文件要求编制</w:t>
      </w:r>
      <w:r>
        <w:rPr>
          <w:rFonts w:hint="eastAsia" w:ascii="宋体" w:hAnsi="宋体"/>
          <w:color w:val="auto"/>
          <w:sz w:val="28"/>
          <w:szCs w:val="28"/>
        </w:rPr>
        <w:t>响应文件正本1份副本2份，并在其封面上清楚地标明响应文件、采购项目名称、采购项目编号、包件号及名称（若有）、供应商名称以及“正本”或“副本”字样。若正本和副本有不一致的内容，以正本书面响应文件为准。</w:t>
      </w:r>
    </w:p>
    <w:bookmarkEnd w:id="60"/>
    <w:bookmarkEnd w:id="61"/>
    <w:bookmarkEnd w:id="62"/>
    <w:p w14:paraId="37E8F023">
      <w:pPr>
        <w:tabs>
          <w:tab w:val="left" w:pos="1095"/>
        </w:tabs>
        <w:spacing w:line="400" w:lineRule="exact"/>
        <w:ind w:firstLine="537" w:firstLineChars="192"/>
        <w:rPr>
          <w:rFonts w:ascii="宋体" w:hAnsi="宋体"/>
          <w:color w:val="auto"/>
          <w:sz w:val="28"/>
          <w:szCs w:val="28"/>
        </w:rPr>
      </w:pPr>
      <w:r>
        <w:rPr>
          <w:rFonts w:hint="eastAsia" w:ascii="宋体" w:hAnsi="宋体"/>
          <w:color w:val="auto"/>
          <w:sz w:val="28"/>
          <w:szCs w:val="28"/>
        </w:rPr>
        <w:t>18.2 响应文件正本和副本均需打印或用不褪色、不变质的墨水书写，并在规定签章处签字和盖章。响应文件副本可采用正本的复印件，电子文档采用光盘或U盘制作。</w:t>
      </w:r>
    </w:p>
    <w:p w14:paraId="2C70785C">
      <w:pPr>
        <w:tabs>
          <w:tab w:val="left" w:pos="1095"/>
        </w:tabs>
        <w:spacing w:line="400" w:lineRule="exact"/>
        <w:ind w:firstLine="537" w:firstLineChars="192"/>
        <w:rPr>
          <w:rFonts w:ascii="宋体" w:hAnsi="宋体"/>
          <w:color w:val="auto"/>
          <w:sz w:val="28"/>
          <w:szCs w:val="28"/>
        </w:rPr>
      </w:pPr>
      <w:r>
        <w:rPr>
          <w:rFonts w:hint="eastAsia" w:ascii="宋体" w:hAnsi="宋体"/>
          <w:color w:val="auto"/>
          <w:sz w:val="28"/>
          <w:szCs w:val="28"/>
        </w:rPr>
        <w:t>18.3响应文件的打印和书写应清楚工整，任何行间插字、涂改或增删，必须由供应商的法定代表人或其授权代表签字并盖供应商公章。字迹潦草、表达不清或可能导致非唯一理解的响应文件可能被作为无效处理。</w:t>
      </w:r>
    </w:p>
    <w:p w14:paraId="1A2059BB">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18.4</w:t>
      </w:r>
      <w:r>
        <w:rPr>
          <w:rFonts w:hint="eastAsia" w:ascii="宋体" w:hAnsi="宋体"/>
          <w:b/>
          <w:color w:val="auto"/>
          <w:sz w:val="28"/>
          <w:szCs w:val="28"/>
        </w:rPr>
        <w:t>（实质性要求）</w:t>
      </w:r>
      <w:r>
        <w:rPr>
          <w:rFonts w:hint="eastAsia" w:ascii="宋体" w:hAnsi="宋体"/>
          <w:color w:val="auto"/>
          <w:sz w:val="28"/>
          <w:szCs w:val="28"/>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A0CAF04">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18.5响应文件正本和副本需要逐页编目编码。</w:t>
      </w:r>
    </w:p>
    <w:p w14:paraId="297C23B5">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18.6</w:t>
      </w:r>
      <w:r>
        <w:rPr>
          <w:rFonts w:hint="eastAsia" w:ascii="宋体" w:hAnsi="宋体"/>
          <w:b/>
          <w:color w:val="auto"/>
          <w:sz w:val="28"/>
          <w:szCs w:val="28"/>
        </w:rPr>
        <w:t>（实质性要求）</w:t>
      </w:r>
      <w:r>
        <w:rPr>
          <w:rFonts w:hint="eastAsia" w:ascii="宋体" w:hAnsi="宋体"/>
          <w:color w:val="auto"/>
          <w:sz w:val="28"/>
          <w:szCs w:val="28"/>
        </w:rPr>
        <w:t>响应文件正本和副本应当采用胶装方式装订成册，不得散装或者合页装订。</w:t>
      </w:r>
    </w:p>
    <w:p w14:paraId="21315483">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18.7</w:t>
      </w:r>
      <w:r>
        <w:rPr>
          <w:rFonts w:hint="eastAsia" w:ascii="宋体" w:hAnsi="宋体"/>
          <w:b/>
          <w:color w:val="auto"/>
          <w:sz w:val="28"/>
          <w:szCs w:val="28"/>
        </w:rPr>
        <w:t>（实质性要求）</w:t>
      </w:r>
      <w:r>
        <w:rPr>
          <w:rFonts w:hint="eastAsia" w:ascii="宋体" w:hAnsi="宋体"/>
          <w:color w:val="auto"/>
          <w:sz w:val="28"/>
          <w:szCs w:val="28"/>
        </w:rPr>
        <w:t>响应文件应根据谈判文件的要求制作，签署、盖章。（按照《四川省政府采购评审工作规程（修订）》规范）</w:t>
      </w:r>
    </w:p>
    <w:p w14:paraId="1EBCABD4">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18.8响应文件统一用</w:t>
      </w:r>
      <w:r>
        <w:rPr>
          <w:rFonts w:ascii="宋体" w:hAnsi="宋体"/>
          <w:color w:val="auto"/>
          <w:sz w:val="28"/>
          <w:szCs w:val="28"/>
        </w:rPr>
        <w:t>A4</w:t>
      </w:r>
      <w:r>
        <w:rPr>
          <w:rFonts w:hint="eastAsia" w:ascii="宋体" w:hAnsi="宋体"/>
          <w:color w:val="auto"/>
          <w:sz w:val="28"/>
          <w:szCs w:val="28"/>
        </w:rPr>
        <w:t>幅面纸印制，除另有规定外。</w:t>
      </w:r>
    </w:p>
    <w:p w14:paraId="2CFBBB5C">
      <w:pPr>
        <w:tabs>
          <w:tab w:val="left" w:pos="1080"/>
        </w:tabs>
        <w:spacing w:line="400" w:lineRule="exact"/>
        <w:ind w:firstLine="537" w:firstLineChars="192"/>
        <w:rPr>
          <w:rFonts w:ascii="宋体"/>
          <w:b/>
          <w:color w:val="auto"/>
          <w:sz w:val="28"/>
          <w:szCs w:val="28"/>
        </w:rPr>
      </w:pPr>
    </w:p>
    <w:p w14:paraId="0EADBE9B">
      <w:pPr>
        <w:tabs>
          <w:tab w:val="left" w:pos="1080"/>
        </w:tabs>
        <w:spacing w:line="400" w:lineRule="exact"/>
        <w:ind w:firstLine="537" w:firstLineChars="192"/>
        <w:rPr>
          <w:rFonts w:ascii="宋体"/>
          <w:b/>
          <w:color w:val="auto"/>
          <w:sz w:val="28"/>
          <w:szCs w:val="28"/>
        </w:rPr>
      </w:pPr>
      <w:bookmarkStart w:id="63" w:name="_Toc89075877"/>
      <w:bookmarkStart w:id="64" w:name="_Toc183682363"/>
      <w:bookmarkStart w:id="65" w:name="_Toc217446053"/>
      <w:bookmarkStart w:id="66" w:name="_Toc77400781"/>
      <w:bookmarkStart w:id="67" w:name="_Toc183582226"/>
      <w:r>
        <w:rPr>
          <w:rFonts w:hint="eastAsia" w:ascii="宋体"/>
          <w:b/>
          <w:color w:val="auto"/>
          <w:sz w:val="28"/>
          <w:szCs w:val="28"/>
        </w:rPr>
        <w:t>19.响应文件的密封和标注（不属于本项目谈判小组评审范畴，由采购人、采购代理机构在接收响应文件时及时处理）</w:t>
      </w:r>
    </w:p>
    <w:p w14:paraId="3BC85882">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19.1 响应文件可以单独密封包装，也可以所有响应文件密封包装在一个密封袋内。</w:t>
      </w:r>
    </w:p>
    <w:p w14:paraId="39813023">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19.2 响应文件密封袋的最外层应清楚地标明采购项目名称、采购项目编号、包件号及名称（若有）、供应商名称。</w:t>
      </w:r>
    </w:p>
    <w:p w14:paraId="28A34397">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19.3 所有外层密封袋的封口处应粘贴牢固。</w:t>
      </w:r>
    </w:p>
    <w:p w14:paraId="6C81B541">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19.4 未按以上要求进行密封和标注的响应文件，采购人、采购代理机构将拒收或者在时间允许的范围内，要求修改完善后接收。</w:t>
      </w:r>
    </w:p>
    <w:p w14:paraId="2C924CD6">
      <w:pPr>
        <w:tabs>
          <w:tab w:val="left" w:pos="1080"/>
        </w:tabs>
        <w:spacing w:line="400" w:lineRule="exact"/>
        <w:ind w:firstLine="537" w:firstLineChars="192"/>
        <w:rPr>
          <w:rFonts w:ascii="宋体"/>
          <w:color w:val="auto"/>
          <w:sz w:val="28"/>
          <w:szCs w:val="28"/>
        </w:rPr>
      </w:pPr>
    </w:p>
    <w:p w14:paraId="79BEA398">
      <w:pPr>
        <w:tabs>
          <w:tab w:val="left" w:pos="1080"/>
        </w:tabs>
        <w:spacing w:line="400" w:lineRule="exact"/>
        <w:ind w:firstLine="537" w:firstLineChars="192"/>
        <w:rPr>
          <w:rFonts w:ascii="宋体"/>
          <w:b/>
          <w:color w:val="auto"/>
          <w:sz w:val="28"/>
          <w:szCs w:val="28"/>
        </w:rPr>
      </w:pPr>
      <w:r>
        <w:rPr>
          <w:rFonts w:hint="eastAsia" w:ascii="宋体"/>
          <w:b/>
          <w:color w:val="auto"/>
          <w:sz w:val="28"/>
          <w:szCs w:val="28"/>
        </w:rPr>
        <w:t>20.响应文件的递交</w:t>
      </w:r>
    </w:p>
    <w:p w14:paraId="260A893F">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20.1 响应文件应于递交响应文件截止时间前送达指定地点，采购代理机构拒绝接收截止时间后送达的响应文件。</w:t>
      </w:r>
    </w:p>
    <w:p w14:paraId="2BC7CBC9">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20.2 采购代理机构将向通过资格审查的供应商发出</w:t>
      </w:r>
      <w:r>
        <w:rPr>
          <w:rFonts w:hint="eastAsia" w:ascii="宋体" w:hAnsi="宋体"/>
          <w:color w:val="auto"/>
          <w:sz w:val="28"/>
          <w:szCs w:val="28"/>
        </w:rPr>
        <w:t>谈判</w:t>
      </w:r>
      <w:r>
        <w:rPr>
          <w:rFonts w:hint="eastAsia" w:ascii="宋体"/>
          <w:color w:val="auto"/>
          <w:sz w:val="28"/>
          <w:szCs w:val="28"/>
        </w:rPr>
        <w:t>邀请；告知未通过资格审查的供应商未通过的原因。</w:t>
      </w:r>
    </w:p>
    <w:p w14:paraId="05A40B02">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20.3 报价表在</w:t>
      </w:r>
      <w:r>
        <w:rPr>
          <w:rFonts w:hint="eastAsia" w:ascii="宋体" w:hAnsi="宋体"/>
          <w:color w:val="auto"/>
          <w:sz w:val="28"/>
          <w:szCs w:val="28"/>
        </w:rPr>
        <w:t>谈判</w:t>
      </w:r>
      <w:r>
        <w:rPr>
          <w:rFonts w:hint="eastAsia" w:ascii="宋体"/>
          <w:color w:val="auto"/>
          <w:sz w:val="28"/>
          <w:szCs w:val="28"/>
        </w:rPr>
        <w:t>后，</w:t>
      </w:r>
      <w:r>
        <w:rPr>
          <w:rFonts w:hint="eastAsia" w:ascii="宋体" w:hAnsi="宋体"/>
          <w:color w:val="auto"/>
          <w:sz w:val="28"/>
          <w:szCs w:val="28"/>
        </w:rPr>
        <w:t>谈判</w:t>
      </w:r>
      <w:r>
        <w:rPr>
          <w:rFonts w:hint="eastAsia" w:ascii="宋体"/>
          <w:color w:val="auto"/>
          <w:sz w:val="28"/>
          <w:szCs w:val="28"/>
        </w:rPr>
        <w:t>小组要求供应商进行最后报价时递交。</w:t>
      </w:r>
    </w:p>
    <w:p w14:paraId="0E5811EB">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20.4 本次采购不接收邮寄的响应文件。</w:t>
      </w:r>
    </w:p>
    <w:p w14:paraId="24691E1B">
      <w:pPr>
        <w:tabs>
          <w:tab w:val="left" w:pos="1080"/>
        </w:tabs>
        <w:spacing w:line="400" w:lineRule="exact"/>
        <w:ind w:firstLine="537" w:firstLineChars="192"/>
        <w:rPr>
          <w:rFonts w:ascii="宋体"/>
          <w:color w:val="auto"/>
          <w:sz w:val="28"/>
          <w:szCs w:val="28"/>
        </w:rPr>
      </w:pPr>
    </w:p>
    <w:bookmarkEnd w:id="63"/>
    <w:bookmarkEnd w:id="64"/>
    <w:bookmarkEnd w:id="65"/>
    <w:bookmarkEnd w:id="66"/>
    <w:bookmarkEnd w:id="67"/>
    <w:p w14:paraId="0A2ED673">
      <w:pPr>
        <w:tabs>
          <w:tab w:val="left" w:pos="1080"/>
        </w:tabs>
        <w:spacing w:line="400" w:lineRule="exact"/>
        <w:ind w:firstLine="537" w:firstLineChars="192"/>
        <w:rPr>
          <w:rFonts w:ascii="宋体" w:hAnsi="宋体"/>
          <w:b/>
          <w:color w:val="auto"/>
          <w:sz w:val="28"/>
          <w:szCs w:val="28"/>
        </w:rPr>
      </w:pPr>
      <w:bookmarkStart w:id="68" w:name="_Toc217446055"/>
      <w:bookmarkStart w:id="69" w:name="_Toc183582228"/>
      <w:bookmarkStart w:id="70" w:name="_Toc183682365"/>
      <w:r>
        <w:rPr>
          <w:rFonts w:hint="eastAsia" w:ascii="宋体" w:hAnsi="宋体"/>
          <w:b/>
          <w:color w:val="auto"/>
          <w:sz w:val="28"/>
          <w:szCs w:val="28"/>
        </w:rPr>
        <w:t>21.响应文件的修改和撤回（补充、修改响应文件的</w:t>
      </w:r>
      <w:r>
        <w:rPr>
          <w:rFonts w:hint="eastAsia" w:ascii="宋体"/>
          <w:b/>
          <w:color w:val="auto"/>
          <w:sz w:val="28"/>
          <w:szCs w:val="28"/>
        </w:rPr>
        <w:t>密封和标注按照本章“19.响应文件的密封和标注”规定处理</w:t>
      </w:r>
      <w:r>
        <w:rPr>
          <w:rFonts w:hint="eastAsia" w:ascii="宋体" w:hAnsi="宋体"/>
          <w:b/>
          <w:color w:val="auto"/>
          <w:sz w:val="28"/>
          <w:szCs w:val="28"/>
        </w:rPr>
        <w:t>）</w:t>
      </w:r>
    </w:p>
    <w:p w14:paraId="3C13236A">
      <w:pPr>
        <w:pStyle w:val="12"/>
        <w:spacing w:line="400" w:lineRule="exact"/>
        <w:ind w:firstLine="56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E465968">
      <w:pPr>
        <w:adjustRightInd w:val="0"/>
        <w:snapToGrid w:val="0"/>
        <w:spacing w:line="400" w:lineRule="exact"/>
        <w:ind w:firstLine="560" w:firstLineChars="20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2供应商对响应文件修改的书面材料或撤回的通知应该按规定进行编写、密封、标注和递送，并注明“修改响应文件”字样。</w:t>
      </w:r>
    </w:p>
    <w:p w14:paraId="3831B4F5">
      <w:pPr>
        <w:adjustRightInd w:val="0"/>
        <w:snapToGrid w:val="0"/>
        <w:spacing w:line="400" w:lineRule="exact"/>
        <w:ind w:firstLine="560" w:firstLineChars="20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3 供应商不得在递交截止时间起至响应文件有效期期满前撤回其响应文件。否则其谈判保证金将按“第二部分供应商采购须知7”的相关规定被没收。</w:t>
      </w:r>
    </w:p>
    <w:p w14:paraId="1059C0CD">
      <w:pPr>
        <w:spacing w:line="400" w:lineRule="exact"/>
        <w:ind w:firstLine="480"/>
        <w:rPr>
          <w:rFonts w:hAnsi="宋体"/>
          <w:color w:val="auto"/>
          <w:sz w:val="28"/>
          <w:szCs w:val="28"/>
        </w:rPr>
      </w:pPr>
      <w:r>
        <w:rPr>
          <w:rFonts w:hint="eastAsia" w:ascii="宋体" w:hAnsi="宋体"/>
          <w:color w:val="auto"/>
          <w:sz w:val="28"/>
          <w:szCs w:val="28"/>
        </w:rPr>
        <w:t>21.4 响应文件中报</w:t>
      </w:r>
      <w:r>
        <w:rPr>
          <w:rFonts w:hint="eastAsia" w:hAnsi="宋体"/>
          <w:color w:val="auto"/>
          <w:sz w:val="28"/>
          <w:szCs w:val="28"/>
        </w:rPr>
        <w:t>价如果出现下列不一致的，可按以下原则进行修改：</w:t>
      </w:r>
    </w:p>
    <w:p w14:paraId="734882A6">
      <w:pPr>
        <w:spacing w:line="400" w:lineRule="exact"/>
        <w:ind w:firstLine="480"/>
        <w:rPr>
          <w:rFonts w:ascii="宋体" w:hAnsi="宋体"/>
          <w:color w:val="auto"/>
          <w:sz w:val="28"/>
          <w:szCs w:val="28"/>
        </w:rPr>
      </w:pPr>
      <w:r>
        <w:rPr>
          <w:rFonts w:hint="eastAsia" w:ascii="宋体" w:hAnsi="宋体"/>
          <w:color w:val="auto"/>
          <w:sz w:val="28"/>
          <w:szCs w:val="28"/>
        </w:rPr>
        <w:t>（一）</w:t>
      </w:r>
      <w:r>
        <w:rPr>
          <w:rFonts w:hint="eastAsia" w:ascii="宋体" w:hAnsi="宋体" w:cs="宋体"/>
          <w:color w:val="auto"/>
          <w:kern w:val="0"/>
          <w:sz w:val="28"/>
          <w:szCs w:val="28"/>
        </w:rPr>
        <w:t>大写金额和小写金额不一致的，以大写金额为准</w:t>
      </w:r>
      <w:r>
        <w:rPr>
          <w:rFonts w:hint="eastAsia" w:ascii="宋体" w:hAnsi="宋体"/>
          <w:color w:val="auto"/>
          <w:sz w:val="28"/>
          <w:szCs w:val="28"/>
        </w:rPr>
        <w:t>，但大写金额文字存在错误的，应当先对大写金额的文字错误进行澄清、说明或者更正，再行修正。</w:t>
      </w:r>
    </w:p>
    <w:p w14:paraId="71516BAD">
      <w:pPr>
        <w:spacing w:line="400" w:lineRule="exact"/>
        <w:ind w:firstLine="480"/>
        <w:rPr>
          <w:rFonts w:ascii="宋体" w:hAnsi="宋体"/>
          <w:color w:val="auto"/>
          <w:sz w:val="28"/>
          <w:szCs w:val="28"/>
        </w:rPr>
      </w:pPr>
      <w:r>
        <w:rPr>
          <w:rFonts w:hint="eastAsia" w:ascii="宋体" w:hAnsi="宋体"/>
          <w:color w:val="auto"/>
          <w:sz w:val="28"/>
          <w:szCs w:val="28"/>
        </w:rPr>
        <w:t>（二）</w:t>
      </w:r>
      <w:r>
        <w:rPr>
          <w:rFonts w:hint="eastAsia" w:ascii="宋体" w:hAnsi="宋体" w:cs="宋体"/>
          <w:color w:val="auto"/>
          <w:kern w:val="0"/>
          <w:sz w:val="28"/>
          <w:szCs w:val="28"/>
        </w:rPr>
        <w:t>总价金额与按单价汇总金额不一致的，以单价金额计算结果为准，</w:t>
      </w:r>
      <w:r>
        <w:rPr>
          <w:rFonts w:hint="eastAsia" w:ascii="宋体" w:hAnsi="宋体"/>
          <w:color w:val="auto"/>
          <w:sz w:val="28"/>
          <w:szCs w:val="28"/>
        </w:rPr>
        <w:t>但</w:t>
      </w:r>
      <w:r>
        <w:rPr>
          <w:rFonts w:hint="eastAsia" w:ascii="宋体" w:hAnsi="宋体" w:cs="宋体"/>
          <w:color w:val="auto"/>
          <w:kern w:val="0"/>
          <w:sz w:val="28"/>
          <w:szCs w:val="28"/>
        </w:rPr>
        <w:t>单价或者单价汇总金额存在数字或者</w:t>
      </w:r>
      <w:r>
        <w:rPr>
          <w:rFonts w:hint="eastAsia" w:ascii="宋体" w:hAnsi="宋体"/>
          <w:color w:val="auto"/>
          <w:sz w:val="28"/>
          <w:szCs w:val="28"/>
        </w:rPr>
        <w:t>文字错误的，应当先对</w:t>
      </w:r>
      <w:r>
        <w:rPr>
          <w:rFonts w:hint="eastAsia" w:ascii="宋体" w:hAnsi="宋体" w:cs="宋体"/>
          <w:color w:val="auto"/>
          <w:kern w:val="0"/>
          <w:sz w:val="28"/>
          <w:szCs w:val="28"/>
        </w:rPr>
        <w:t>数字或者</w:t>
      </w:r>
      <w:r>
        <w:rPr>
          <w:rFonts w:hint="eastAsia" w:ascii="宋体" w:hAnsi="宋体"/>
          <w:color w:val="auto"/>
          <w:sz w:val="28"/>
          <w:szCs w:val="28"/>
        </w:rPr>
        <w:t>文字错误进行澄清、说明或者更正，再行修正。</w:t>
      </w:r>
    </w:p>
    <w:p w14:paraId="3C88CAA1">
      <w:pPr>
        <w:spacing w:line="400" w:lineRule="exact"/>
        <w:ind w:firstLine="480"/>
        <w:rPr>
          <w:rFonts w:ascii="宋体" w:hAnsi="宋体"/>
          <w:color w:val="auto"/>
          <w:sz w:val="28"/>
          <w:szCs w:val="28"/>
        </w:rPr>
      </w:pPr>
      <w:r>
        <w:rPr>
          <w:rFonts w:hint="eastAsia" w:ascii="宋体" w:hAnsi="宋体"/>
          <w:color w:val="auto"/>
          <w:sz w:val="28"/>
          <w:szCs w:val="28"/>
        </w:rPr>
        <w:t>（三）单价金额小数点</w:t>
      </w:r>
      <w:r>
        <w:rPr>
          <w:rFonts w:hint="eastAsia" w:ascii="宋体" w:hAnsi="宋体" w:cs="宋体"/>
          <w:color w:val="auto"/>
          <w:kern w:val="0"/>
          <w:sz w:val="28"/>
          <w:szCs w:val="28"/>
        </w:rPr>
        <w:t>或者百分比有明显错位的</w:t>
      </w:r>
      <w:r>
        <w:rPr>
          <w:rFonts w:hint="eastAsia" w:ascii="宋体" w:hAnsi="宋体"/>
          <w:color w:val="auto"/>
          <w:sz w:val="28"/>
          <w:szCs w:val="28"/>
        </w:rPr>
        <w:t>，以总价为准，修正单价。</w:t>
      </w:r>
    </w:p>
    <w:p w14:paraId="277D8B98">
      <w:pPr>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214F167">
      <w:pPr>
        <w:spacing w:line="400" w:lineRule="exact"/>
        <w:ind w:firstLine="480"/>
        <w:rPr>
          <w:rFonts w:ascii="宋体"/>
          <w:color w:val="auto"/>
          <w:sz w:val="28"/>
          <w:szCs w:val="28"/>
        </w:rPr>
      </w:pPr>
      <w:r>
        <w:rPr>
          <w:rFonts w:hint="eastAsia" w:ascii="宋体" w:hAnsi="宋体"/>
          <w:color w:val="auto"/>
          <w:sz w:val="28"/>
          <w:szCs w:val="28"/>
        </w:rPr>
        <w:t>21.5 供</w:t>
      </w:r>
      <w:r>
        <w:rPr>
          <w:rFonts w:hint="eastAsia"/>
          <w:color w:val="auto"/>
          <w:sz w:val="28"/>
          <w:szCs w:val="28"/>
        </w:rPr>
        <w:t>应商对其提交的响应文件的真实性、合法性承担法律责任。</w:t>
      </w:r>
      <w:bookmarkEnd w:id="68"/>
      <w:bookmarkEnd w:id="69"/>
      <w:bookmarkEnd w:id="70"/>
    </w:p>
    <w:p w14:paraId="7F36525D">
      <w:pPr>
        <w:pStyle w:val="3"/>
        <w:keepNext w:val="0"/>
        <w:keepLines w:val="0"/>
        <w:spacing w:line="400" w:lineRule="exact"/>
        <w:jc w:val="center"/>
        <w:rPr>
          <w:color w:val="auto"/>
          <w:sz w:val="28"/>
          <w:szCs w:val="28"/>
        </w:rPr>
      </w:pPr>
      <w:r>
        <w:rPr>
          <w:rFonts w:hint="eastAsia"/>
          <w:color w:val="auto"/>
          <w:sz w:val="28"/>
          <w:szCs w:val="28"/>
        </w:rPr>
        <w:t>五、评审</w:t>
      </w:r>
    </w:p>
    <w:p w14:paraId="3F686DE0">
      <w:pPr>
        <w:pStyle w:val="3"/>
        <w:keepNext w:val="0"/>
        <w:keepLines w:val="0"/>
        <w:spacing w:line="400" w:lineRule="exact"/>
        <w:ind w:firstLine="560" w:firstLineChars="200"/>
        <w:rPr>
          <w:rFonts w:ascii="宋体" w:hAnsi="宋体" w:eastAsia="宋体"/>
          <w:b w:val="0"/>
          <w:color w:val="auto"/>
          <w:sz w:val="28"/>
          <w:szCs w:val="28"/>
        </w:rPr>
      </w:pPr>
      <w:r>
        <w:rPr>
          <w:rFonts w:hint="eastAsia" w:ascii="宋体" w:hAnsi="宋体" w:eastAsia="宋体"/>
          <w:color w:val="auto"/>
          <w:sz w:val="28"/>
          <w:szCs w:val="28"/>
        </w:rPr>
        <w:t>22.</w:t>
      </w:r>
      <w:r>
        <w:rPr>
          <w:rFonts w:hint="eastAsia" w:ascii="宋体" w:hAnsi="宋体" w:eastAsia="宋体"/>
          <w:b w:val="0"/>
          <w:color w:val="auto"/>
          <w:sz w:val="28"/>
          <w:szCs w:val="28"/>
        </w:rPr>
        <w:t xml:space="preserve"> 谈判小组的组建及其评审工作按照有关法律制度和本文件第九章的规定进行。</w:t>
      </w:r>
    </w:p>
    <w:p w14:paraId="354A8AB5">
      <w:pPr>
        <w:pStyle w:val="3"/>
        <w:keepNext w:val="0"/>
        <w:keepLines w:val="0"/>
        <w:spacing w:line="400" w:lineRule="exact"/>
        <w:jc w:val="center"/>
        <w:rPr>
          <w:rFonts w:ascii="黑体" w:hAnsi="宋体"/>
          <w:color w:val="auto"/>
          <w:sz w:val="28"/>
          <w:szCs w:val="28"/>
        </w:rPr>
      </w:pPr>
      <w:r>
        <w:rPr>
          <w:rFonts w:hint="eastAsia" w:ascii="黑体" w:hAnsi="宋体"/>
          <w:color w:val="auto"/>
          <w:sz w:val="28"/>
          <w:szCs w:val="28"/>
        </w:rPr>
        <w:t>六、成交事项</w:t>
      </w:r>
    </w:p>
    <w:p w14:paraId="6FE45975">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23.确定成交供应商</w:t>
      </w:r>
    </w:p>
    <w:p w14:paraId="056A2180">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采购人将按谈判小组推荐的成交候选供应商顺序确定成交供应商。</w:t>
      </w:r>
    </w:p>
    <w:p w14:paraId="4F9BE75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23.1采购代理机构自评审结束后2个工作日内将谈判报告及有关资料送交采购人确定成交供应商。</w:t>
      </w:r>
    </w:p>
    <w:p w14:paraId="5817F470">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23.2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14:paraId="2A30DACA">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23.3采购人确定成交供应商过程中，发现成交候选供应商有下列情形之一的，应当不予确定其为成交供应商：</w:t>
      </w:r>
    </w:p>
    <w:p w14:paraId="3BEA6B9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（1）发现成交候选供应商存在禁止参加本项目采购活动的违法行为的；</w:t>
      </w:r>
    </w:p>
    <w:p w14:paraId="11C1345D">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（2）成交候选供应商因不可抗力，不能继续参加政府采购活动。</w:t>
      </w:r>
    </w:p>
    <w:p w14:paraId="6A59E6AE">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（3）成交候选供应商无偿赠与或者低于成本价竞争；</w:t>
      </w:r>
    </w:p>
    <w:p w14:paraId="54FCFFE1">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（4）成交候选供应商提供虚假材料；</w:t>
      </w:r>
    </w:p>
    <w:p w14:paraId="569A0F9C">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（5）成交候选供应商恶意串通。</w:t>
      </w:r>
    </w:p>
    <w:p w14:paraId="1D1A8BAE">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成交候选供应商有本条情形之一的，采购人可以确定后一位成交候选供应商为成交供应商，依次类推。无法确定成交供应商的，应当重新组织采购。</w:t>
      </w:r>
    </w:p>
    <w:p w14:paraId="2CB37FA0">
      <w:pPr>
        <w:rPr>
          <w:color w:val="auto"/>
          <w:sz w:val="28"/>
          <w:szCs w:val="28"/>
        </w:rPr>
      </w:pPr>
    </w:p>
    <w:p w14:paraId="56860A08">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24.成交结果</w:t>
      </w:r>
    </w:p>
    <w:p w14:paraId="40B1A123">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24.1采购人确定成交供应商后，将及时书面通知采购代理机构，发出成交通知书并发布成交结果公告。</w:t>
      </w:r>
    </w:p>
    <w:p w14:paraId="72B62953">
      <w:pPr>
        <w:ind w:firstLine="465"/>
        <w:rPr>
          <w:rFonts w:ascii="宋体" w:hAnsi="宋体"/>
          <w:color w:val="auto"/>
          <w:sz w:val="28"/>
          <w:szCs w:val="28"/>
        </w:rPr>
      </w:pPr>
      <w:r>
        <w:rPr>
          <w:rFonts w:hint="eastAsia" w:ascii="宋体" w:hAnsi="宋体"/>
          <w:color w:val="auto"/>
          <w:sz w:val="28"/>
          <w:szCs w:val="28"/>
        </w:rPr>
        <w:t>24.2成交供应商应当及时领取成交通知书。</w:t>
      </w:r>
    </w:p>
    <w:p w14:paraId="60B4E092">
      <w:pPr>
        <w:ind w:firstLine="560" w:firstLineChars="200"/>
        <w:rPr>
          <w:rFonts w:ascii="宋体" w:hAnsi="宋体"/>
          <w:color w:val="auto"/>
          <w:sz w:val="28"/>
          <w:szCs w:val="28"/>
        </w:rPr>
      </w:pPr>
      <w:r>
        <w:rPr>
          <w:rFonts w:hint="eastAsia" w:ascii="宋体" w:hAnsi="宋体"/>
          <w:color w:val="auto"/>
          <w:sz w:val="28"/>
          <w:szCs w:val="28"/>
        </w:rPr>
        <w:t>24.3成交供应商不能及时领取成交通知书，采购人或者采购代理机构应当通过邮寄、快递等方式将项目成交通知书送达成交供应商。</w:t>
      </w:r>
    </w:p>
    <w:p w14:paraId="6CB0F683">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25.成交通知书</w:t>
      </w:r>
    </w:p>
    <w:p w14:paraId="1C91F197">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25.1成交通知书为签订政府采购合同的依据之一，是合同的有效组成部分。</w:t>
      </w:r>
    </w:p>
    <w:p w14:paraId="5043510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25.2成交通知书对采购人和成交供应商均具有法律效力。成交通知书发出后，采购人无正当理由改变成交结果，或者成交供应商无正当理由放弃成交的，将承担相应的法律责任。</w:t>
      </w:r>
    </w:p>
    <w:p w14:paraId="0AE1D6C5">
      <w:pPr>
        <w:pStyle w:val="3"/>
        <w:keepNext w:val="0"/>
        <w:keepLines w:val="0"/>
        <w:spacing w:before="0" w:after="0" w:line="400" w:lineRule="exact"/>
        <w:ind w:firstLine="560" w:firstLineChars="200"/>
        <w:rPr>
          <w:color w:val="auto"/>
          <w:sz w:val="28"/>
          <w:szCs w:val="28"/>
        </w:rPr>
      </w:pPr>
      <w:r>
        <w:rPr>
          <w:rFonts w:hint="eastAsia" w:ascii="宋体" w:hAnsi="宋体" w:eastAsia="宋体"/>
          <w:b w:val="0"/>
          <w:color w:val="auto"/>
          <w:sz w:val="28"/>
          <w:szCs w:val="28"/>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3FFA018E">
      <w:pPr>
        <w:pStyle w:val="3"/>
        <w:keepNext w:val="0"/>
        <w:keepLines w:val="0"/>
        <w:spacing w:line="400" w:lineRule="exact"/>
        <w:jc w:val="center"/>
        <w:rPr>
          <w:color w:val="auto"/>
          <w:sz w:val="28"/>
          <w:szCs w:val="28"/>
        </w:rPr>
      </w:pPr>
      <w:r>
        <w:rPr>
          <w:rFonts w:hint="eastAsia"/>
          <w:color w:val="auto"/>
          <w:sz w:val="28"/>
          <w:szCs w:val="28"/>
        </w:rPr>
        <w:t>七、合同事项</w:t>
      </w:r>
    </w:p>
    <w:p w14:paraId="4C16D75F">
      <w:pPr>
        <w:pStyle w:val="3"/>
        <w:keepNext w:val="0"/>
        <w:keepLines w:val="0"/>
        <w:spacing w:before="0" w:after="0" w:line="400" w:lineRule="exact"/>
        <w:ind w:firstLine="548" w:firstLineChars="196"/>
        <w:rPr>
          <w:rFonts w:ascii="宋体" w:hAnsi="宋体" w:eastAsia="宋体"/>
          <w:color w:val="auto"/>
          <w:sz w:val="28"/>
          <w:szCs w:val="28"/>
        </w:rPr>
      </w:pPr>
      <w:bookmarkStart w:id="71" w:name="_Toc209847069"/>
      <w:bookmarkStart w:id="72" w:name="_Toc101174151"/>
      <w:bookmarkStart w:id="73" w:name="_Toc101250646"/>
      <w:bookmarkStart w:id="74" w:name="_Toc430773927"/>
      <w:bookmarkStart w:id="75" w:name="_Toc101338364"/>
      <w:r>
        <w:rPr>
          <w:rFonts w:hint="eastAsia" w:ascii="宋体" w:hAnsi="宋体" w:eastAsia="宋体"/>
          <w:color w:val="auto"/>
          <w:sz w:val="28"/>
          <w:szCs w:val="28"/>
        </w:rPr>
        <w:t>26.签订合同</w:t>
      </w:r>
      <w:bookmarkEnd w:id="71"/>
      <w:bookmarkEnd w:id="72"/>
      <w:bookmarkEnd w:id="73"/>
      <w:bookmarkEnd w:id="74"/>
      <w:bookmarkEnd w:id="75"/>
    </w:p>
    <w:p w14:paraId="7E26C583">
      <w:pPr>
        <w:spacing w:line="400" w:lineRule="exact"/>
        <w:ind w:firstLine="560" w:firstLineChars="200"/>
        <w:rPr>
          <w:rFonts w:ascii="宋体" w:hAnsi="宋体"/>
          <w:color w:val="auto"/>
          <w:sz w:val="28"/>
          <w:szCs w:val="28"/>
        </w:rPr>
      </w:pPr>
      <w:r>
        <w:rPr>
          <w:rFonts w:hint="eastAsia" w:ascii="宋体" w:hAnsi="宋体"/>
          <w:color w:val="auto"/>
          <w:sz w:val="28"/>
          <w:szCs w:val="28"/>
        </w:rPr>
        <w:t>26.1 成交供应商应在成交通知书发出之日起三十日内与采购人签订采购合同。由于成交供应商的原因逾期未与采购人签订采购合同的，将视为放弃成交，取消其成交资格并将按相关规定进行处理。</w:t>
      </w:r>
    </w:p>
    <w:p w14:paraId="40D03502">
      <w:pPr>
        <w:spacing w:line="400" w:lineRule="exact"/>
        <w:ind w:firstLine="560" w:firstLineChars="200"/>
        <w:rPr>
          <w:rFonts w:ascii="宋体" w:hAnsi="宋体"/>
          <w:color w:val="auto"/>
          <w:sz w:val="28"/>
          <w:szCs w:val="28"/>
        </w:rPr>
      </w:pPr>
      <w:r>
        <w:rPr>
          <w:rFonts w:hint="eastAsia" w:ascii="宋体" w:hAnsi="宋体"/>
          <w:color w:val="auto"/>
          <w:sz w:val="28"/>
          <w:szCs w:val="28"/>
        </w:rPr>
        <w:t>26.2 谈判文件、成交供应商的响应文件及双方确认的澄清文件等，均为有法律约束力的经济合同的组成部分。</w:t>
      </w:r>
    </w:p>
    <w:p w14:paraId="7B16C1D2">
      <w:pPr>
        <w:spacing w:line="400" w:lineRule="exact"/>
        <w:ind w:firstLine="560" w:firstLineChars="200"/>
        <w:rPr>
          <w:rFonts w:hAnsi="宋体"/>
          <w:color w:val="auto"/>
          <w:sz w:val="28"/>
          <w:szCs w:val="28"/>
        </w:rPr>
      </w:pPr>
      <w:r>
        <w:rPr>
          <w:rFonts w:hint="eastAsia" w:ascii="宋体" w:hAnsi="宋体"/>
          <w:color w:val="auto"/>
          <w:sz w:val="28"/>
          <w:szCs w:val="28"/>
        </w:rPr>
        <w:t>26.3 采购</w:t>
      </w:r>
      <w:r>
        <w:rPr>
          <w:rFonts w:hint="eastAsia" w:hAnsi="宋体"/>
          <w:color w:val="auto"/>
          <w:sz w:val="28"/>
          <w:szCs w:val="28"/>
        </w:rPr>
        <w:t>人不得向成交供应商提出任何不合理的要求，作为签订合同的条件，不得与成交供应商私下订立背离合同实质性内容的任何协议，所签订的合同不得对谈判文件和成交供应商响应文件确定的事项进行修改。</w:t>
      </w:r>
    </w:p>
    <w:p w14:paraId="0E3EF3FB">
      <w:pPr>
        <w:spacing w:line="400" w:lineRule="exact"/>
        <w:ind w:firstLine="560" w:firstLineChars="200"/>
        <w:rPr>
          <w:rFonts w:ascii="宋体" w:hAnsi="宋体"/>
          <w:color w:val="auto"/>
          <w:sz w:val="28"/>
          <w:szCs w:val="28"/>
        </w:rPr>
      </w:pPr>
      <w:r>
        <w:rPr>
          <w:rFonts w:hint="eastAsia" w:ascii="宋体" w:hAnsi="宋体"/>
          <w:color w:val="auto"/>
          <w:sz w:val="28"/>
          <w:szCs w:val="28"/>
        </w:rPr>
        <w:t>26.4 成交供应商因不可抗力原因不能履行采购合同或放弃成交的，采购人可以与排在成交供应商之后第一位的成交候选人签订采购合同，以此类推。</w:t>
      </w:r>
    </w:p>
    <w:p w14:paraId="7FE2E52B">
      <w:pPr>
        <w:spacing w:line="400" w:lineRule="exact"/>
        <w:ind w:firstLine="560" w:firstLineChars="200"/>
        <w:rPr>
          <w:rFonts w:hAnsi="宋体"/>
          <w:color w:val="auto"/>
          <w:sz w:val="28"/>
          <w:szCs w:val="28"/>
        </w:rPr>
      </w:pPr>
      <w:r>
        <w:rPr>
          <w:rFonts w:hint="eastAsia" w:ascii="宋体" w:hAnsi="宋体"/>
          <w:color w:val="auto"/>
          <w:sz w:val="28"/>
          <w:szCs w:val="28"/>
        </w:rPr>
        <w:t xml:space="preserve">26.5 </w:t>
      </w:r>
      <w:r>
        <w:rPr>
          <w:rFonts w:hint="eastAsia" w:hAnsi="宋体"/>
          <w:color w:val="auto"/>
          <w:sz w:val="28"/>
          <w:szCs w:val="28"/>
        </w:rPr>
        <w:t>竞争性</w:t>
      </w:r>
      <w:r>
        <w:rPr>
          <w:rFonts w:hint="eastAsia" w:ascii="宋体" w:hAnsi="宋体"/>
          <w:color w:val="auto"/>
          <w:sz w:val="28"/>
          <w:szCs w:val="28"/>
        </w:rPr>
        <w:t>谈判</w:t>
      </w:r>
      <w:r>
        <w:rPr>
          <w:rFonts w:hint="eastAsia" w:hAnsi="宋体"/>
          <w:color w:val="auto"/>
          <w:sz w:val="28"/>
          <w:szCs w:val="28"/>
        </w:rPr>
        <w:t>文件、成交供应商提交的响应文件、</w:t>
      </w:r>
      <w:r>
        <w:rPr>
          <w:rFonts w:hint="eastAsia" w:ascii="宋体" w:hAnsi="宋体"/>
          <w:color w:val="auto"/>
          <w:sz w:val="28"/>
          <w:szCs w:val="28"/>
        </w:rPr>
        <w:t>谈判</w:t>
      </w:r>
      <w:r>
        <w:rPr>
          <w:rFonts w:hint="eastAsia" w:hAnsi="宋体"/>
          <w:color w:val="auto"/>
          <w:sz w:val="28"/>
          <w:szCs w:val="28"/>
        </w:rPr>
        <w:t>中的最后报价、成交供应商承诺书、成交通知书等均称为有法律约束力的合同组成内容。</w:t>
      </w:r>
    </w:p>
    <w:p w14:paraId="69A25EA2">
      <w:pPr>
        <w:spacing w:line="400" w:lineRule="exact"/>
        <w:ind w:firstLine="560" w:firstLineChars="200"/>
        <w:rPr>
          <w:rFonts w:hAnsi="宋体"/>
          <w:color w:val="auto"/>
          <w:sz w:val="28"/>
          <w:szCs w:val="28"/>
        </w:rPr>
      </w:pPr>
    </w:p>
    <w:p w14:paraId="25BB3D4A">
      <w:pPr>
        <w:spacing w:line="400" w:lineRule="exact"/>
        <w:ind w:firstLine="560" w:firstLineChars="200"/>
        <w:rPr>
          <w:rFonts w:ascii="宋体" w:hAnsi="宋体"/>
          <w:b/>
          <w:color w:val="auto"/>
          <w:sz w:val="28"/>
          <w:szCs w:val="28"/>
        </w:rPr>
      </w:pPr>
      <w:r>
        <w:rPr>
          <w:rFonts w:hint="eastAsia" w:ascii="宋体" w:hAnsi="宋体"/>
          <w:b/>
          <w:color w:val="auto"/>
          <w:sz w:val="28"/>
          <w:szCs w:val="28"/>
        </w:rPr>
        <w:t>27.合同分包（实质性要求）</w:t>
      </w:r>
    </w:p>
    <w:p w14:paraId="1CBFCF7F">
      <w:pPr>
        <w:spacing w:line="400" w:lineRule="exact"/>
        <w:ind w:firstLine="560" w:firstLineChars="200"/>
        <w:rPr>
          <w:rFonts w:ascii="宋体" w:hAnsi="宋体"/>
          <w:color w:val="auto"/>
          <w:sz w:val="28"/>
          <w:szCs w:val="28"/>
        </w:rPr>
      </w:pPr>
      <w:r>
        <w:rPr>
          <w:rFonts w:hint="eastAsia" w:ascii="宋体" w:hAnsi="宋体"/>
          <w:color w:val="auto"/>
          <w:sz w:val="28"/>
          <w:szCs w:val="28"/>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4B682D82">
      <w:pPr>
        <w:spacing w:line="400" w:lineRule="exact"/>
        <w:ind w:firstLine="560" w:firstLineChars="200"/>
        <w:rPr>
          <w:rFonts w:ascii="宋体" w:hAnsi="宋体"/>
          <w:color w:val="auto"/>
          <w:sz w:val="28"/>
          <w:szCs w:val="28"/>
        </w:rPr>
      </w:pPr>
      <w:r>
        <w:rPr>
          <w:rFonts w:hint="eastAsia" w:ascii="宋体" w:hAnsi="宋体"/>
          <w:color w:val="auto"/>
          <w:sz w:val="28"/>
          <w:szCs w:val="28"/>
        </w:rPr>
        <w:t>分包履行合同的部分应当为采购项目的非主体、非关键性工作，不属于成交供应商的主要合同义务。</w:t>
      </w:r>
    </w:p>
    <w:p w14:paraId="6EDC0330">
      <w:pPr>
        <w:spacing w:line="400" w:lineRule="exact"/>
        <w:ind w:firstLine="560" w:firstLineChars="200"/>
        <w:rPr>
          <w:rFonts w:ascii="宋体" w:hAnsi="宋体"/>
          <w:color w:val="auto"/>
          <w:sz w:val="28"/>
          <w:szCs w:val="28"/>
        </w:rPr>
      </w:pPr>
      <w:r>
        <w:rPr>
          <w:rFonts w:hint="eastAsia" w:ascii="宋体" w:hAnsi="宋体"/>
          <w:color w:val="auto"/>
          <w:sz w:val="28"/>
          <w:szCs w:val="28"/>
        </w:rPr>
        <w:t>27.2 采购合同实行分包履行的，成交供应商就采购项目和分包项目向采购人负责，分包供应商就分包项目承担责任。</w:t>
      </w:r>
    </w:p>
    <w:p w14:paraId="615C16E6">
      <w:pPr>
        <w:spacing w:line="400" w:lineRule="exact"/>
        <w:ind w:firstLine="560" w:firstLineChars="200"/>
        <w:rPr>
          <w:rFonts w:hAnsi="宋体"/>
          <w:color w:val="auto"/>
          <w:sz w:val="28"/>
          <w:szCs w:val="28"/>
        </w:rPr>
      </w:pPr>
      <w:r>
        <w:rPr>
          <w:rFonts w:hint="eastAsia" w:ascii="宋体" w:hAnsi="宋体"/>
          <w:color w:val="auto"/>
          <w:sz w:val="28"/>
          <w:szCs w:val="28"/>
        </w:rPr>
        <w:t xml:space="preserve">27.3 </w:t>
      </w:r>
      <w:r>
        <w:rPr>
          <w:rFonts w:hint="eastAsia" w:ascii="宋体" w:hAnsi="宋体" w:cs="宋体"/>
          <w:color w:val="auto"/>
          <w:sz w:val="28"/>
          <w:szCs w:val="28"/>
        </w:rPr>
        <w:t>中小企业依据《政府采购促进中小企业发展管理办法》（财库〔2020〕46号）规定的政策获取采购合同后，小型、微型企业不得分包或转包给大型、中型企业，中型企业不得分包或转包给大型企业。</w:t>
      </w:r>
    </w:p>
    <w:p w14:paraId="197F9EDE">
      <w:pPr>
        <w:spacing w:line="400" w:lineRule="exact"/>
        <w:ind w:firstLine="560" w:firstLineChars="200"/>
        <w:rPr>
          <w:rFonts w:ascii="宋体" w:hAnsi="宋体"/>
          <w:b/>
          <w:color w:val="auto"/>
          <w:sz w:val="28"/>
          <w:szCs w:val="28"/>
        </w:rPr>
      </w:pPr>
      <w:r>
        <w:rPr>
          <w:rFonts w:hint="eastAsia" w:ascii="宋体" w:hAnsi="宋体"/>
          <w:b/>
          <w:color w:val="auto"/>
          <w:sz w:val="28"/>
          <w:szCs w:val="28"/>
        </w:rPr>
        <w:t>28.合同转包（实质性要求）</w:t>
      </w:r>
    </w:p>
    <w:p w14:paraId="2AF16706">
      <w:pPr>
        <w:spacing w:line="400" w:lineRule="exact"/>
        <w:ind w:firstLine="560" w:firstLineChars="200"/>
        <w:rPr>
          <w:rFonts w:hAnsi="宋体"/>
          <w:color w:val="auto"/>
          <w:sz w:val="28"/>
          <w:szCs w:val="28"/>
        </w:rPr>
      </w:pPr>
      <w:r>
        <w:rPr>
          <w:rFonts w:hint="eastAsia" w:hAnsi="宋体"/>
          <w:color w:val="auto"/>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00EA90B9">
      <w:pPr>
        <w:spacing w:line="400" w:lineRule="exact"/>
        <w:ind w:firstLine="560" w:firstLineChars="200"/>
        <w:rPr>
          <w:rFonts w:hAnsi="宋体"/>
          <w:color w:val="auto"/>
          <w:sz w:val="28"/>
          <w:szCs w:val="28"/>
        </w:rPr>
      </w:pPr>
      <w:r>
        <w:rPr>
          <w:rFonts w:hint="eastAsia" w:hAnsi="宋体"/>
          <w:color w:val="auto"/>
          <w:sz w:val="28"/>
          <w:szCs w:val="28"/>
        </w:rPr>
        <w:t>成交供应商转包的，视同拒绝履行政府采购合同义务，将依法追究法律责任。</w:t>
      </w:r>
    </w:p>
    <w:p w14:paraId="2BE06241">
      <w:pPr>
        <w:spacing w:line="400" w:lineRule="exact"/>
        <w:ind w:firstLine="560" w:firstLineChars="200"/>
        <w:rPr>
          <w:rFonts w:hAnsi="宋体"/>
          <w:color w:val="auto"/>
          <w:sz w:val="28"/>
          <w:szCs w:val="28"/>
        </w:rPr>
      </w:pPr>
    </w:p>
    <w:p w14:paraId="0E5EA88E">
      <w:pPr>
        <w:spacing w:line="400" w:lineRule="exact"/>
        <w:ind w:firstLine="560" w:firstLineChars="200"/>
        <w:rPr>
          <w:rFonts w:ascii="宋体" w:hAnsi="宋体"/>
          <w:b/>
          <w:color w:val="auto"/>
          <w:sz w:val="28"/>
          <w:szCs w:val="28"/>
        </w:rPr>
      </w:pPr>
      <w:r>
        <w:rPr>
          <w:rFonts w:hint="eastAsia" w:ascii="宋体" w:hAnsi="宋体"/>
          <w:b/>
          <w:color w:val="auto"/>
          <w:sz w:val="28"/>
          <w:szCs w:val="28"/>
        </w:rPr>
        <w:t>29.补充合同</w:t>
      </w:r>
    </w:p>
    <w:p w14:paraId="2C53DC6B">
      <w:pPr>
        <w:spacing w:line="400" w:lineRule="exact"/>
        <w:ind w:firstLine="560" w:firstLineChars="200"/>
        <w:rPr>
          <w:rFonts w:hAnsi="宋体"/>
          <w:color w:val="auto"/>
          <w:sz w:val="28"/>
          <w:szCs w:val="28"/>
        </w:rPr>
      </w:pPr>
      <w:r>
        <w:rPr>
          <w:rFonts w:hint="eastAsia" w:hAnsi="宋体"/>
          <w:color w:val="auto"/>
          <w:sz w:val="28"/>
          <w:szCs w:val="28"/>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73A1833A">
      <w:pPr>
        <w:spacing w:line="400" w:lineRule="exact"/>
        <w:rPr>
          <w:rFonts w:hAnsi="宋体"/>
          <w:color w:val="auto"/>
          <w:sz w:val="28"/>
          <w:szCs w:val="28"/>
        </w:rPr>
      </w:pPr>
    </w:p>
    <w:p w14:paraId="0508B113">
      <w:pPr>
        <w:spacing w:line="400" w:lineRule="exact"/>
        <w:ind w:firstLine="560" w:firstLineChars="200"/>
        <w:rPr>
          <w:rFonts w:ascii="宋体" w:hAnsi="宋体"/>
          <w:b/>
          <w:color w:val="auto"/>
          <w:sz w:val="28"/>
          <w:szCs w:val="28"/>
        </w:rPr>
      </w:pPr>
      <w:r>
        <w:rPr>
          <w:rFonts w:hint="eastAsia" w:ascii="宋体" w:hAnsi="宋体"/>
          <w:b/>
          <w:color w:val="auto"/>
          <w:sz w:val="28"/>
          <w:szCs w:val="28"/>
        </w:rPr>
        <w:t xml:space="preserve">30.履约保证金 </w:t>
      </w:r>
    </w:p>
    <w:p w14:paraId="195D7A27">
      <w:pPr>
        <w:spacing w:line="400" w:lineRule="exact"/>
        <w:ind w:firstLine="560" w:firstLineChars="200"/>
        <w:rPr>
          <w:rFonts w:hAnsi="宋体"/>
          <w:color w:val="auto"/>
          <w:sz w:val="28"/>
          <w:szCs w:val="28"/>
        </w:rPr>
      </w:pPr>
      <w:r>
        <w:rPr>
          <w:rFonts w:hint="eastAsia" w:hAnsi="宋体"/>
          <w:color w:val="auto"/>
          <w:sz w:val="28"/>
          <w:szCs w:val="28"/>
          <w:lang w:val="en-US" w:eastAsia="zh-CN"/>
        </w:rPr>
        <w:t>本项目</w:t>
      </w:r>
      <w:r>
        <w:rPr>
          <w:rFonts w:hint="eastAsia" w:hAnsi="宋体"/>
          <w:color w:val="auto"/>
          <w:sz w:val="28"/>
          <w:szCs w:val="28"/>
        </w:rPr>
        <w:t>不收取履约保证金。</w:t>
      </w:r>
    </w:p>
    <w:p w14:paraId="474E9B27">
      <w:pPr>
        <w:spacing w:line="400" w:lineRule="exact"/>
        <w:ind w:firstLine="560" w:firstLineChars="200"/>
        <w:rPr>
          <w:rFonts w:ascii="宋体" w:hAnsi="宋体"/>
          <w:b/>
          <w:color w:val="auto"/>
          <w:sz w:val="28"/>
          <w:szCs w:val="28"/>
        </w:rPr>
      </w:pPr>
      <w:r>
        <w:rPr>
          <w:rFonts w:hint="eastAsia" w:ascii="宋体" w:hAnsi="宋体"/>
          <w:b/>
          <w:color w:val="auto"/>
          <w:sz w:val="28"/>
          <w:szCs w:val="28"/>
        </w:rPr>
        <w:t>31.履行合同</w:t>
      </w:r>
    </w:p>
    <w:p w14:paraId="154381A7">
      <w:pPr>
        <w:spacing w:line="400" w:lineRule="exact"/>
        <w:ind w:firstLine="560" w:firstLineChars="200"/>
        <w:rPr>
          <w:rFonts w:ascii="宋体" w:hAnsi="宋体"/>
          <w:color w:val="auto"/>
          <w:sz w:val="28"/>
          <w:szCs w:val="28"/>
        </w:rPr>
      </w:pPr>
      <w:r>
        <w:rPr>
          <w:rFonts w:hint="eastAsia" w:ascii="宋体" w:hAnsi="宋体"/>
          <w:color w:val="auto"/>
          <w:sz w:val="28"/>
          <w:szCs w:val="28"/>
        </w:rPr>
        <w:t>31.1 成交供应商与采购人签订合同后，合同双方应严格执行合同条款，履行合同规定的义务，保证合同的顺利完成。</w:t>
      </w:r>
    </w:p>
    <w:p w14:paraId="5CA51BE2">
      <w:pPr>
        <w:spacing w:line="400" w:lineRule="exact"/>
        <w:ind w:firstLine="560" w:firstLineChars="200"/>
        <w:rPr>
          <w:rFonts w:hAnsi="宋体"/>
          <w:color w:val="auto"/>
          <w:sz w:val="28"/>
          <w:szCs w:val="28"/>
        </w:rPr>
      </w:pPr>
      <w:r>
        <w:rPr>
          <w:rFonts w:hint="eastAsia" w:ascii="宋体" w:hAnsi="宋体"/>
          <w:color w:val="auto"/>
          <w:sz w:val="28"/>
          <w:szCs w:val="28"/>
        </w:rPr>
        <w:t>31.2 在合同</w:t>
      </w:r>
      <w:r>
        <w:rPr>
          <w:rFonts w:hint="eastAsia" w:hAnsi="宋体"/>
          <w:color w:val="auto"/>
          <w:sz w:val="28"/>
          <w:szCs w:val="28"/>
        </w:rPr>
        <w:t>履行过程中，如发生合同纠纷，合同双方应按照《合同法》的有关规定进行处理。</w:t>
      </w:r>
    </w:p>
    <w:p w14:paraId="711CF88D">
      <w:pPr>
        <w:spacing w:line="400" w:lineRule="exact"/>
        <w:ind w:firstLine="560" w:firstLineChars="200"/>
        <w:rPr>
          <w:rFonts w:hAnsi="宋体"/>
          <w:color w:val="auto"/>
          <w:sz w:val="28"/>
          <w:szCs w:val="28"/>
        </w:rPr>
      </w:pPr>
    </w:p>
    <w:p w14:paraId="2D342DB9">
      <w:pPr>
        <w:spacing w:line="400" w:lineRule="exact"/>
        <w:ind w:firstLine="560" w:firstLineChars="200"/>
        <w:rPr>
          <w:rFonts w:ascii="宋体" w:hAnsi="宋体"/>
          <w:b/>
          <w:color w:val="auto"/>
          <w:sz w:val="28"/>
          <w:szCs w:val="28"/>
        </w:rPr>
      </w:pPr>
      <w:r>
        <w:rPr>
          <w:rFonts w:hint="eastAsia" w:ascii="宋体" w:hAnsi="宋体"/>
          <w:b/>
          <w:color w:val="auto"/>
          <w:sz w:val="28"/>
          <w:szCs w:val="28"/>
        </w:rPr>
        <w:t>32.验收</w:t>
      </w:r>
    </w:p>
    <w:p w14:paraId="4FA89E5E">
      <w:pPr>
        <w:spacing w:line="400" w:lineRule="exact"/>
        <w:ind w:firstLine="560" w:firstLineChars="200"/>
        <w:rPr>
          <w:rFonts w:ascii="宋体" w:hAnsi="宋体"/>
          <w:color w:val="auto"/>
          <w:sz w:val="28"/>
          <w:szCs w:val="28"/>
        </w:rPr>
      </w:pPr>
      <w:r>
        <w:rPr>
          <w:rFonts w:hint="eastAsia" w:ascii="宋体" w:hAnsi="宋体"/>
          <w:color w:val="auto"/>
          <w:sz w:val="28"/>
          <w:szCs w:val="28"/>
        </w:rPr>
        <w:t>32.1本项目采购人及其委托的采购代理机构将严格按照政府采购相关法律法规以及</w:t>
      </w:r>
      <w:r>
        <w:rPr>
          <w:rFonts w:hint="eastAsia" w:ascii="宋体" w:hAnsi="宋体" w:cs="宋体"/>
          <w:color w:val="auto"/>
          <w:sz w:val="28"/>
          <w:szCs w:val="28"/>
        </w:rPr>
        <w:t>《财政部关于进一步加强政府采购需求和履约验收管理的指导意见》（财库（2016）205号）的要求进行验收</w:t>
      </w:r>
      <w:r>
        <w:rPr>
          <w:rFonts w:hint="eastAsia" w:ascii="宋体" w:hAnsi="宋体"/>
          <w:color w:val="auto"/>
          <w:sz w:val="28"/>
          <w:szCs w:val="28"/>
        </w:rPr>
        <w:t>。</w:t>
      </w:r>
    </w:p>
    <w:p w14:paraId="549C37F1">
      <w:pPr>
        <w:spacing w:line="400" w:lineRule="exact"/>
        <w:ind w:firstLine="560" w:firstLineChars="200"/>
        <w:rPr>
          <w:rFonts w:hAnsi="宋体"/>
          <w:color w:val="auto"/>
          <w:sz w:val="28"/>
          <w:szCs w:val="28"/>
        </w:rPr>
      </w:pPr>
      <w:r>
        <w:rPr>
          <w:rFonts w:hint="eastAsia" w:ascii="宋体" w:hAnsi="宋体"/>
          <w:color w:val="auto"/>
          <w:sz w:val="28"/>
          <w:szCs w:val="28"/>
        </w:rPr>
        <w:t>32.2 验</w:t>
      </w:r>
      <w:r>
        <w:rPr>
          <w:rFonts w:hint="eastAsia" w:hAnsi="宋体"/>
          <w:color w:val="auto"/>
          <w:sz w:val="28"/>
          <w:szCs w:val="28"/>
        </w:rPr>
        <w:t>收结果合格的，成交供应商按程序办理</w:t>
      </w:r>
      <w:r>
        <w:rPr>
          <w:rFonts w:hint="eastAsia" w:hAnsi="宋体"/>
          <w:color w:val="auto"/>
          <w:sz w:val="28"/>
          <w:szCs w:val="28"/>
          <w:lang w:val="en-US" w:eastAsia="zh-CN"/>
        </w:rPr>
        <w:t>相关</w:t>
      </w:r>
      <w:r>
        <w:rPr>
          <w:rFonts w:hint="eastAsia" w:hAnsi="宋体"/>
          <w:color w:val="auto"/>
          <w:sz w:val="28"/>
          <w:szCs w:val="28"/>
        </w:rPr>
        <w:t>手续；验收结果不合格的，将不予支付采购资金，还可能会报本项目同级财政部门按照政府采购法律法规有关规定给予行政处罚或者以失信行为记入诚信档案。</w:t>
      </w:r>
    </w:p>
    <w:p w14:paraId="5F006E0D">
      <w:pPr>
        <w:pStyle w:val="3"/>
        <w:keepNext w:val="0"/>
        <w:keepLines w:val="0"/>
        <w:spacing w:before="0" w:after="0" w:line="400" w:lineRule="exact"/>
        <w:jc w:val="center"/>
        <w:rPr>
          <w:color w:val="auto"/>
          <w:sz w:val="28"/>
          <w:szCs w:val="28"/>
        </w:rPr>
      </w:pPr>
    </w:p>
    <w:p w14:paraId="13F155EA">
      <w:pPr>
        <w:pStyle w:val="3"/>
        <w:keepNext w:val="0"/>
        <w:keepLines w:val="0"/>
        <w:spacing w:before="0" w:after="0" w:line="400" w:lineRule="exact"/>
        <w:jc w:val="center"/>
        <w:rPr>
          <w:color w:val="auto"/>
          <w:sz w:val="28"/>
          <w:szCs w:val="28"/>
        </w:rPr>
      </w:pPr>
      <w:r>
        <w:rPr>
          <w:rFonts w:hint="eastAsia"/>
          <w:color w:val="auto"/>
          <w:sz w:val="28"/>
          <w:szCs w:val="28"/>
        </w:rPr>
        <w:t>八、谈判纪律要求</w:t>
      </w:r>
    </w:p>
    <w:p w14:paraId="6A03D1E0">
      <w:pPr>
        <w:tabs>
          <w:tab w:val="left" w:pos="851"/>
        </w:tabs>
        <w:spacing w:line="360" w:lineRule="auto"/>
        <w:jc w:val="center"/>
        <w:rPr>
          <w:rFonts w:ascii="宋体" w:hAnsi="宋体"/>
          <w:color w:val="auto"/>
          <w:sz w:val="28"/>
          <w:szCs w:val="28"/>
        </w:rPr>
      </w:pPr>
    </w:p>
    <w:p w14:paraId="6D338C31">
      <w:pPr>
        <w:tabs>
          <w:tab w:val="left" w:pos="851"/>
        </w:tabs>
        <w:spacing w:line="360" w:lineRule="auto"/>
        <w:ind w:firstLine="560" w:firstLineChars="200"/>
        <w:rPr>
          <w:rFonts w:ascii="宋体" w:hAnsi="宋体"/>
          <w:b/>
          <w:color w:val="auto"/>
          <w:sz w:val="28"/>
          <w:szCs w:val="28"/>
        </w:rPr>
      </w:pPr>
      <w:r>
        <w:rPr>
          <w:rFonts w:hint="eastAsia" w:ascii="宋体" w:hAnsi="宋体"/>
          <w:b/>
          <w:color w:val="auto"/>
          <w:sz w:val="28"/>
          <w:szCs w:val="28"/>
        </w:rPr>
        <w:t>33.供应商不得具有的情形</w:t>
      </w:r>
    </w:p>
    <w:p w14:paraId="1BEC30FA">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供应商参加本项目谈判不得有下列情形：</w:t>
      </w:r>
    </w:p>
    <w:p w14:paraId="7E364868">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（1）提供虚假材料谋取成交；</w:t>
      </w:r>
    </w:p>
    <w:p w14:paraId="6498E0A7">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（2）采取不正当手段诋毁、排挤其他供应商；</w:t>
      </w:r>
    </w:p>
    <w:p w14:paraId="782C6F5A">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（3）与采购人、采购代理机构、或其他供应商恶意串通；</w:t>
      </w:r>
    </w:p>
    <w:p w14:paraId="0AA3E597">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（4）向采购人、采购代理机构、谈判小组成员行贿或者提供其</w:t>
      </w:r>
    </w:p>
    <w:p w14:paraId="5204B9E1">
      <w:pPr>
        <w:tabs>
          <w:tab w:val="left" w:pos="851"/>
        </w:tabs>
        <w:spacing w:line="360" w:lineRule="auto"/>
        <w:rPr>
          <w:rFonts w:ascii="宋体" w:hAnsi="宋体"/>
          <w:color w:val="auto"/>
          <w:sz w:val="28"/>
          <w:szCs w:val="28"/>
        </w:rPr>
      </w:pPr>
      <w:r>
        <w:rPr>
          <w:rFonts w:hint="eastAsia" w:ascii="宋体" w:hAnsi="宋体"/>
          <w:color w:val="auto"/>
          <w:sz w:val="28"/>
          <w:szCs w:val="28"/>
        </w:rPr>
        <w:t>他不正当利益；</w:t>
      </w:r>
    </w:p>
    <w:p w14:paraId="747DBB74">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（5）在谈判过程中与采购人、采购代理机构进行协商；</w:t>
      </w:r>
    </w:p>
    <w:p w14:paraId="7CE125F4">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（6）成交后无正当理由拒不与采购人签订政府采购合同；</w:t>
      </w:r>
    </w:p>
    <w:p w14:paraId="677D3202">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（7）未按照谈判文件确定的事项签订政府采购合同；</w:t>
      </w:r>
    </w:p>
    <w:p w14:paraId="292764A6">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（8）将政府采购合同转包或者违规分包；</w:t>
      </w:r>
    </w:p>
    <w:p w14:paraId="5F07038F">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（9）提供假冒伪劣产品；</w:t>
      </w:r>
    </w:p>
    <w:p w14:paraId="21CCA999">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（10）擅自变更、中止或者终止政府采购合同；</w:t>
      </w:r>
    </w:p>
    <w:p w14:paraId="77A33B40">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（11）拒绝有关部门的监督检查或者向监督检查部门提供虚假情况；</w:t>
      </w:r>
    </w:p>
    <w:p w14:paraId="7D287FB6">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（12）法律法规规定的其他情形。</w:t>
      </w:r>
    </w:p>
    <w:p w14:paraId="197C7140">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供应商有上述情形的，按照规定追究法律责任，具备（1）-（10）条情形之一的，同时将取消被确认为成交供应商的资格或者认定成交无效。</w:t>
      </w:r>
    </w:p>
    <w:p w14:paraId="3AFA5A78">
      <w:pPr>
        <w:tabs>
          <w:tab w:val="left" w:pos="851"/>
        </w:tabs>
        <w:spacing w:line="360" w:lineRule="auto"/>
        <w:jc w:val="center"/>
        <w:rPr>
          <w:rFonts w:ascii="黑体" w:hAnsi="宋体" w:eastAsia="黑体"/>
          <w:b/>
          <w:color w:val="auto"/>
          <w:sz w:val="28"/>
          <w:szCs w:val="28"/>
        </w:rPr>
      </w:pPr>
      <w:r>
        <w:rPr>
          <w:rFonts w:hint="eastAsia" w:ascii="黑体" w:hAnsi="宋体" w:eastAsia="黑体"/>
          <w:b/>
          <w:color w:val="auto"/>
          <w:sz w:val="28"/>
          <w:szCs w:val="28"/>
        </w:rPr>
        <w:t>九、询问、质疑和投诉</w:t>
      </w:r>
    </w:p>
    <w:p w14:paraId="15165F1F">
      <w:pPr>
        <w:tabs>
          <w:tab w:val="left" w:pos="851"/>
        </w:tabs>
        <w:spacing w:line="360" w:lineRule="auto"/>
        <w:jc w:val="center"/>
        <w:rPr>
          <w:rFonts w:ascii="宋体" w:hAnsi="宋体"/>
          <w:color w:val="auto"/>
          <w:sz w:val="28"/>
          <w:szCs w:val="28"/>
        </w:rPr>
      </w:pPr>
    </w:p>
    <w:p w14:paraId="4777EC63">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34.询问、质疑、投诉的接收和处理严格按照《中华人民共和国政府采购法》、《中华人民共和国政府采购法实施条例》、《财政部关于加强政府采购供应商投诉受理审查工作的通知》和四川省的有关规定办理。</w:t>
      </w:r>
    </w:p>
    <w:p w14:paraId="12B60417">
      <w:pPr>
        <w:tabs>
          <w:tab w:val="left" w:pos="851"/>
        </w:tabs>
        <w:spacing w:line="360" w:lineRule="auto"/>
        <w:jc w:val="center"/>
        <w:rPr>
          <w:rFonts w:ascii="黑体" w:hAnsi="宋体" w:eastAsia="黑体"/>
          <w:b/>
          <w:color w:val="auto"/>
          <w:sz w:val="28"/>
          <w:szCs w:val="28"/>
        </w:rPr>
      </w:pPr>
      <w:r>
        <w:rPr>
          <w:rFonts w:hint="eastAsia" w:ascii="黑体" w:hAnsi="宋体" w:eastAsia="黑体"/>
          <w:b/>
          <w:color w:val="auto"/>
          <w:sz w:val="28"/>
          <w:szCs w:val="28"/>
        </w:rPr>
        <w:t>十、其  他</w:t>
      </w:r>
    </w:p>
    <w:p w14:paraId="78FFA79C">
      <w:pPr>
        <w:tabs>
          <w:tab w:val="left" w:pos="851"/>
        </w:tabs>
        <w:spacing w:line="360" w:lineRule="auto"/>
        <w:jc w:val="center"/>
        <w:rPr>
          <w:rFonts w:ascii="宋体" w:hAnsi="宋体"/>
          <w:color w:val="auto"/>
          <w:sz w:val="28"/>
          <w:szCs w:val="28"/>
        </w:rPr>
      </w:pPr>
    </w:p>
    <w:p w14:paraId="369DB9CF">
      <w:pPr>
        <w:spacing w:line="360" w:lineRule="auto"/>
        <w:ind w:firstLine="560" w:firstLineChars="200"/>
        <w:rPr>
          <w:rFonts w:ascii="宋体" w:hAnsi="宋体"/>
          <w:color w:val="auto"/>
          <w:sz w:val="28"/>
          <w:szCs w:val="28"/>
        </w:rPr>
      </w:pPr>
      <w:r>
        <w:rPr>
          <w:rFonts w:hint="eastAsia" w:ascii="宋体" w:hAnsi="宋体"/>
          <w:color w:val="auto"/>
          <w:sz w:val="28"/>
          <w:szCs w:val="28"/>
        </w:rPr>
        <w:t>35.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14:paraId="6458DDA5">
      <w:pPr>
        <w:spacing w:line="360" w:lineRule="auto"/>
        <w:ind w:firstLine="560" w:firstLineChars="200"/>
        <w:rPr>
          <w:color w:val="auto"/>
          <w:sz w:val="28"/>
          <w:szCs w:val="28"/>
        </w:rPr>
      </w:pPr>
      <w:r>
        <w:rPr>
          <w:rFonts w:hint="eastAsia" w:ascii="宋体" w:hAnsi="宋体"/>
          <w:color w:val="auto"/>
          <w:sz w:val="28"/>
          <w:szCs w:val="28"/>
        </w:rPr>
        <w:t>36.</w:t>
      </w:r>
      <w:r>
        <w:rPr>
          <w:rFonts w:hint="eastAsia" w:ascii="宋体" w:hAnsi="宋体"/>
          <w:b/>
          <w:color w:val="auto"/>
          <w:sz w:val="28"/>
          <w:szCs w:val="28"/>
        </w:rPr>
        <w:t>（实质性要求）</w:t>
      </w:r>
      <w:r>
        <w:rPr>
          <w:rFonts w:hint="eastAsia" w:ascii="宋体"/>
          <w:color w:val="auto"/>
          <w:sz w:val="28"/>
          <w:szCs w:val="28"/>
        </w:rPr>
        <w:t>在本次递交响应文件之前一周年内，</w:t>
      </w:r>
      <w:r>
        <w:rPr>
          <w:rFonts w:hint="eastAsia" w:ascii="宋体" w:hAnsi="宋体"/>
          <w:color w:val="auto"/>
          <w:sz w:val="28"/>
          <w:szCs w:val="28"/>
        </w:rPr>
        <w:t>供应商本次谈判中对同一品牌同一型号的产品报价与其在中国境内其他地方的最低报价相比不得高于</w:t>
      </w:r>
      <w:r>
        <w:rPr>
          <w:rFonts w:hint="eastAsia" w:ascii="宋体"/>
          <w:color w:val="auto"/>
          <w:sz w:val="28"/>
          <w:szCs w:val="28"/>
        </w:rPr>
        <w:t>20%（建议在10%-20%区间）。</w:t>
      </w:r>
    </w:p>
    <w:p w14:paraId="69649BEF">
      <w:pPr>
        <w:spacing w:line="400" w:lineRule="exact"/>
        <w:ind w:firstLine="560" w:firstLineChars="200"/>
        <w:rPr>
          <w:rFonts w:ascii="黑体" w:hAnsi="宋体" w:eastAsia="黑体"/>
          <w:b/>
          <w:color w:val="auto"/>
          <w:sz w:val="28"/>
          <w:szCs w:val="28"/>
        </w:rPr>
      </w:pPr>
      <w:r>
        <w:rPr>
          <w:rFonts w:hint="eastAsia" w:ascii="宋体" w:hAnsi="宋体"/>
          <w:color w:val="auto"/>
          <w:sz w:val="28"/>
          <w:szCs w:val="28"/>
        </w:rPr>
        <w:t>37.</w:t>
      </w:r>
      <w:r>
        <w:rPr>
          <w:rFonts w:hint="eastAsia" w:ascii="宋体" w:hAnsi="宋体"/>
          <w:b/>
          <w:color w:val="auto"/>
          <w:sz w:val="28"/>
          <w:szCs w:val="28"/>
        </w:rPr>
        <w:t>（实质性要求）</w:t>
      </w:r>
      <w:r>
        <w:rPr>
          <w:color w:val="auto"/>
          <w:kern w:val="0"/>
          <w:sz w:val="28"/>
          <w:szCs w:val="28"/>
        </w:rPr>
        <w:t>国家</w:t>
      </w:r>
      <w:r>
        <w:rPr>
          <w:rFonts w:hint="eastAsia"/>
          <w:color w:val="auto"/>
          <w:kern w:val="0"/>
          <w:sz w:val="28"/>
          <w:szCs w:val="28"/>
        </w:rPr>
        <w:t>或行业主管部门</w:t>
      </w:r>
      <w:r>
        <w:rPr>
          <w:color w:val="auto"/>
          <w:kern w:val="0"/>
          <w:sz w:val="28"/>
          <w:szCs w:val="28"/>
        </w:rPr>
        <w:t>对</w:t>
      </w:r>
      <w:r>
        <w:rPr>
          <w:rFonts w:hint="eastAsia"/>
          <w:color w:val="auto"/>
          <w:kern w:val="0"/>
          <w:sz w:val="28"/>
          <w:szCs w:val="28"/>
        </w:rPr>
        <w:t>供应商和采购产品的</w:t>
      </w:r>
      <w:r>
        <w:rPr>
          <w:color w:val="auto"/>
          <w:kern w:val="0"/>
          <w:sz w:val="28"/>
          <w:szCs w:val="28"/>
        </w:rPr>
        <w:t>技术</w:t>
      </w:r>
      <w:r>
        <w:rPr>
          <w:rFonts w:hint="eastAsia"/>
          <w:color w:val="auto"/>
          <w:kern w:val="0"/>
          <w:sz w:val="28"/>
          <w:szCs w:val="28"/>
        </w:rPr>
        <w:t>标准、</w:t>
      </w:r>
      <w:r>
        <w:rPr>
          <w:color w:val="auto"/>
          <w:kern w:val="0"/>
          <w:sz w:val="28"/>
          <w:szCs w:val="28"/>
        </w:rPr>
        <w:t>质量</w:t>
      </w:r>
      <w:r>
        <w:rPr>
          <w:rFonts w:hint="eastAsia"/>
          <w:color w:val="auto"/>
          <w:kern w:val="0"/>
          <w:sz w:val="28"/>
          <w:szCs w:val="28"/>
        </w:rPr>
        <w:t>标准和资格资质条件</w:t>
      </w:r>
      <w:r>
        <w:rPr>
          <w:color w:val="auto"/>
          <w:kern w:val="0"/>
          <w:sz w:val="28"/>
          <w:szCs w:val="28"/>
        </w:rPr>
        <w:t>等有</w:t>
      </w:r>
      <w:r>
        <w:rPr>
          <w:rFonts w:hint="eastAsia"/>
          <w:color w:val="auto"/>
          <w:kern w:val="0"/>
          <w:sz w:val="28"/>
          <w:szCs w:val="28"/>
        </w:rPr>
        <w:t>强制性规定</w:t>
      </w:r>
      <w:r>
        <w:rPr>
          <w:color w:val="auto"/>
          <w:kern w:val="0"/>
          <w:sz w:val="28"/>
          <w:szCs w:val="28"/>
        </w:rPr>
        <w:t>的</w:t>
      </w:r>
      <w:r>
        <w:rPr>
          <w:rFonts w:hint="eastAsia"/>
          <w:color w:val="auto"/>
          <w:sz w:val="28"/>
          <w:szCs w:val="28"/>
        </w:rPr>
        <w:t>，</w:t>
      </w:r>
      <w:r>
        <w:rPr>
          <w:rFonts w:hint="eastAsia"/>
          <w:color w:val="auto"/>
          <w:kern w:val="0"/>
          <w:sz w:val="28"/>
          <w:szCs w:val="28"/>
        </w:rPr>
        <w:t>必须符合其要求。</w:t>
      </w:r>
    </w:p>
    <w:p w14:paraId="192BD10B">
      <w:pPr>
        <w:pStyle w:val="12"/>
        <w:ind w:firstLine="480"/>
        <w:rPr>
          <w:rFonts w:ascii="仿宋" w:hAnsi="仿宋" w:eastAsia="仿宋"/>
          <w:color w:val="auto"/>
        </w:rPr>
      </w:pPr>
    </w:p>
    <w:p w14:paraId="0910CEA2">
      <w:pPr>
        <w:pStyle w:val="12"/>
        <w:ind w:firstLine="480"/>
        <w:rPr>
          <w:rFonts w:ascii="仿宋" w:hAnsi="仿宋" w:eastAsia="仿宋"/>
          <w:color w:val="auto"/>
        </w:rPr>
      </w:pPr>
    </w:p>
    <w:p w14:paraId="1B323E1C">
      <w:pPr>
        <w:pStyle w:val="12"/>
        <w:ind w:firstLine="480"/>
        <w:rPr>
          <w:rFonts w:ascii="仿宋" w:hAnsi="仿宋" w:eastAsia="仿宋"/>
          <w:color w:val="auto"/>
        </w:rPr>
      </w:pPr>
    </w:p>
    <w:p w14:paraId="0B9F61D6">
      <w:pPr>
        <w:pStyle w:val="12"/>
        <w:ind w:firstLine="480"/>
        <w:rPr>
          <w:rFonts w:ascii="仿宋" w:hAnsi="仿宋" w:eastAsia="仿宋"/>
          <w:color w:val="auto"/>
        </w:rPr>
      </w:pPr>
    </w:p>
    <w:p w14:paraId="6BE45DDF">
      <w:pPr>
        <w:pStyle w:val="38"/>
        <w:rPr>
          <w:rFonts w:ascii="仿宋" w:hAnsi="仿宋" w:eastAsia="仿宋"/>
          <w:b/>
          <w:bCs/>
          <w:color w:val="auto"/>
          <w:sz w:val="30"/>
          <w:szCs w:val="30"/>
        </w:rPr>
      </w:pPr>
      <w:bookmarkStart w:id="76" w:name="_Toc509579142"/>
      <w:bookmarkStart w:id="77" w:name="_Toc41037904"/>
      <w:r>
        <w:rPr>
          <w:rFonts w:hint="eastAsia" w:ascii="仿宋" w:hAnsi="仿宋" w:eastAsia="仿宋" w:cs="仿宋"/>
          <w:color w:val="auto"/>
          <w:sz w:val="30"/>
          <w:szCs w:val="30"/>
        </w:rPr>
        <w:br w:type="page"/>
      </w:r>
      <w:r>
        <w:rPr>
          <w:rFonts w:hint="eastAsia" w:ascii="仿宋" w:hAnsi="仿宋" w:eastAsia="仿宋" w:cs="仿宋"/>
          <w:color w:val="auto"/>
          <w:sz w:val="30"/>
          <w:szCs w:val="30"/>
        </w:rPr>
        <w:t>第三章   供应商的资格、资质性及其他类似效力要求</w:t>
      </w:r>
      <w:bookmarkEnd w:id="76"/>
      <w:bookmarkEnd w:id="77"/>
    </w:p>
    <w:p w14:paraId="0E2D198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sz w:val="30"/>
          <w:szCs w:val="30"/>
        </w:rPr>
      </w:pPr>
      <w:r>
        <w:rPr>
          <w:rFonts w:hint="eastAsia" w:ascii="仿宋" w:hAnsi="仿宋" w:eastAsia="仿宋" w:cs="仿宋"/>
          <w:color w:val="auto"/>
          <w:sz w:val="30"/>
          <w:szCs w:val="30"/>
        </w:rPr>
        <w:t>一、参加谈判的供应商应具备下列资格条件：</w:t>
      </w:r>
    </w:p>
    <w:p w14:paraId="266ECA15">
      <w:pPr>
        <w:keepNext w:val="0"/>
        <w:keepLines w:val="0"/>
        <w:pageBreakBefore w:val="0"/>
        <w:widowControl w:val="0"/>
        <w:kinsoku/>
        <w:wordWrap/>
        <w:overflowPunct/>
        <w:topLinePunct w:val="0"/>
        <w:autoSpaceDE/>
        <w:autoSpaceDN/>
        <w:bidi w:val="0"/>
        <w:adjustRightInd/>
        <w:snapToGrid/>
        <w:spacing w:line="500" w:lineRule="exact"/>
        <w:ind w:firstLine="675" w:firstLineChars="225"/>
        <w:textAlignment w:val="auto"/>
        <w:rPr>
          <w:rFonts w:ascii="仿宋" w:hAnsi="仿宋" w:eastAsia="仿宋"/>
          <w:color w:val="auto"/>
          <w:sz w:val="30"/>
          <w:szCs w:val="30"/>
        </w:rPr>
      </w:pPr>
      <w:r>
        <w:rPr>
          <w:rFonts w:hint="eastAsia" w:ascii="仿宋" w:hAnsi="仿宋" w:eastAsia="仿宋" w:cs="仿宋"/>
          <w:color w:val="auto"/>
          <w:sz w:val="30"/>
          <w:szCs w:val="30"/>
        </w:rPr>
        <w:t>（一）《中华人民共和国政府采购法》第二十二条规定的条件：</w:t>
      </w:r>
    </w:p>
    <w:p w14:paraId="7A550612">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1.具有独立承担民事责任的能力；</w:t>
      </w:r>
    </w:p>
    <w:p w14:paraId="1C7783E5">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2.具有良好的商业信誉和健全的财务会计制度；</w:t>
      </w:r>
    </w:p>
    <w:p w14:paraId="32B00082">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3.具有履行合同所必须的设备和专业技术能力；</w:t>
      </w:r>
    </w:p>
    <w:p w14:paraId="12389BF4">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4.具有依法缴纳税收和社会保障资金的良好记录；</w:t>
      </w:r>
    </w:p>
    <w:p w14:paraId="2DB80F18">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5.参加本次政府采购活动前三年内，在经营活动中没有重大违法记录；</w:t>
      </w:r>
    </w:p>
    <w:p w14:paraId="37FC1F49">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6.法律、行政法规规定的其他条件。</w:t>
      </w:r>
    </w:p>
    <w:p w14:paraId="782607BB">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olor w:val="auto"/>
          <w:sz w:val="30"/>
          <w:szCs w:val="30"/>
        </w:rPr>
      </w:pPr>
      <w:r>
        <w:rPr>
          <w:rFonts w:hint="eastAsia" w:ascii="仿宋" w:hAnsi="仿宋" w:eastAsia="仿宋" w:cs="仿宋"/>
          <w:color w:val="auto"/>
          <w:sz w:val="30"/>
          <w:szCs w:val="30"/>
        </w:rPr>
        <w:t>7.根据采购项目提出的特殊条件：</w:t>
      </w:r>
      <w:r>
        <w:rPr>
          <w:rFonts w:hint="eastAsia" w:ascii="仿宋" w:hAnsi="仿宋" w:eastAsia="仿宋" w:cs="仿宋"/>
          <w:bCs/>
          <w:color w:val="auto"/>
          <w:sz w:val="28"/>
          <w:szCs w:val="28"/>
        </w:rPr>
        <w:t>本项目不接受联合体谈判。</w:t>
      </w:r>
    </w:p>
    <w:p w14:paraId="508AA4D5">
      <w:pPr>
        <w:pStyle w:val="7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落实政府采购政策需满足的资格要求：</w:t>
      </w:r>
    </w:p>
    <w:p w14:paraId="7FD7A6A3">
      <w:pPr>
        <w:spacing w:line="480" w:lineRule="exact"/>
        <w:ind w:firstLine="560" w:firstLineChars="200"/>
        <w:jc w:val="left"/>
        <w:rPr>
          <w:color w:val="auto"/>
          <w:sz w:val="28"/>
          <w:szCs w:val="28"/>
        </w:rPr>
      </w:pPr>
      <w:r>
        <w:rPr>
          <w:rFonts w:hint="eastAsia" w:ascii="仿宋" w:hAnsi="仿宋" w:eastAsia="仿宋" w:cs="仿宋"/>
          <w:bCs/>
          <w:color w:val="auto"/>
          <w:kern w:val="2"/>
          <w:sz w:val="28"/>
          <w:szCs w:val="28"/>
          <w:lang w:val="en-US" w:eastAsia="zh-CN" w:bidi="ar-SA"/>
        </w:rPr>
        <w:t>本项目专门面向中小企业（监狱企业/残疾人福利性企业视同小微企业）</w:t>
      </w:r>
    </w:p>
    <w:p w14:paraId="2626BC9C">
      <w:pPr>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三、其他类似效力要求相关证明材料：</w:t>
      </w:r>
    </w:p>
    <w:p w14:paraId="25E1DA21">
      <w:pPr>
        <w:spacing w:line="360" w:lineRule="auto"/>
        <w:rPr>
          <w:rFonts w:ascii="仿宋" w:hAnsi="仿宋" w:eastAsia="仿宋"/>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1</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单位负责人身份证明材料复印件。</w:t>
      </w:r>
    </w:p>
    <w:p w14:paraId="141E686B">
      <w:pPr>
        <w:numPr>
          <w:ilvl w:val="0"/>
          <w:numId w:val="0"/>
        </w:numPr>
        <w:spacing w:line="480" w:lineRule="exact"/>
        <w:jc w:val="left"/>
        <w:rPr>
          <w:rFonts w:ascii="仿宋" w:hAnsi="仿宋" w:eastAsia="仿宋" w:cs="仿宋"/>
          <w:b/>
          <w:bCs/>
          <w:color w:val="auto"/>
          <w:sz w:val="24"/>
          <w:szCs w:val="24"/>
        </w:rPr>
      </w:pPr>
      <w:r>
        <w:rPr>
          <w:rFonts w:hint="eastAsia" w:ascii="仿宋" w:hAnsi="仿宋" w:eastAsia="仿宋" w:cs="仿宋"/>
          <w:color w:val="auto"/>
          <w:sz w:val="30"/>
          <w:szCs w:val="30"/>
        </w:rPr>
        <w:t>（</w:t>
      </w:r>
      <w:r>
        <w:rPr>
          <w:rFonts w:ascii="仿宋" w:hAnsi="仿宋" w:eastAsia="仿宋" w:cs="仿宋"/>
          <w:color w:val="auto"/>
          <w:sz w:val="30"/>
          <w:szCs w:val="30"/>
        </w:rPr>
        <w:t>2</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单位负责人授权代理书原件及代理人身份证明材料复印件（注：①法定代表人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单位负责人授权代理书原件需加盖公章；②如响应文件均由供应商法定代表人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单位负责人签字或加盖私人印章的且法定代表人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单位负责人本人参与谈判的，则可不提供。）</w:t>
      </w:r>
    </w:p>
    <w:p w14:paraId="0115150A">
      <w:pPr>
        <w:spacing w:line="360" w:lineRule="auto"/>
        <w:ind w:left="420"/>
        <w:rPr>
          <w:rFonts w:ascii="仿宋" w:hAnsi="仿宋" w:eastAsia="仿宋"/>
          <w:color w:val="auto"/>
          <w:sz w:val="30"/>
          <w:szCs w:val="30"/>
        </w:rPr>
      </w:pPr>
      <w:r>
        <w:rPr>
          <w:rFonts w:hint="eastAsia" w:hAnsi="宋体"/>
          <w:b w:val="0"/>
          <w:bCs w:val="0"/>
          <w:color w:val="auto"/>
        </w:rPr>
        <w:t>注：1．“参加本次招标活动前三年内，在经营活动中没有重大违法记录”中的重大违法记录，是指供应商因违法经营受到刑事处罚或者责令停产停业、吊销许可证或者执照、较大数额罚款等行政处罚（“较大数额罚款”的金额标准是指：根据《财政部关于&lt;中华人民共和国政府采购法实施条例&gt;第十九条第一款“较大数额罚款”具体适用问题的意见》(财库(2022)3号)规定，《中华人民共和国政府采购法实施条例》第十九条第一款规定的“较大数额罚款”认定为200万元以上的罚款，法律、行政法规以及国务院有关部门明确规定相关领域“较大数额罚款”标准高于200万元的，从其规定。)</w:t>
      </w:r>
    </w:p>
    <w:p w14:paraId="78713880">
      <w:pPr>
        <w:pStyle w:val="38"/>
        <w:rPr>
          <w:rFonts w:ascii="仿宋" w:hAnsi="仿宋" w:eastAsia="仿宋" w:cs="Times New Roman"/>
          <w:color w:val="auto"/>
          <w:sz w:val="30"/>
          <w:szCs w:val="30"/>
        </w:rPr>
      </w:pPr>
      <w:bookmarkStart w:id="78" w:name="_Toc41037905"/>
      <w:bookmarkStart w:id="79" w:name="_Toc509579143"/>
      <w:r>
        <w:rPr>
          <w:rFonts w:hint="eastAsia" w:ascii="仿宋" w:hAnsi="仿宋" w:eastAsia="仿宋" w:cs="仿宋"/>
          <w:color w:val="auto"/>
          <w:sz w:val="30"/>
          <w:szCs w:val="30"/>
        </w:rPr>
        <w:br w:type="page"/>
      </w:r>
      <w:r>
        <w:rPr>
          <w:rFonts w:hint="eastAsia" w:ascii="仿宋" w:hAnsi="仿宋" w:eastAsia="仿宋" w:cs="仿宋"/>
          <w:color w:val="auto"/>
          <w:sz w:val="30"/>
          <w:szCs w:val="30"/>
        </w:rPr>
        <w:t>第四章供应商应当提供的资格、资质性及其他类似效力要求的相关证明材料</w:t>
      </w:r>
      <w:bookmarkEnd w:id="78"/>
      <w:bookmarkEnd w:id="79"/>
    </w:p>
    <w:p w14:paraId="647C2D0F">
      <w:pPr>
        <w:ind w:firstLine="538"/>
        <w:rPr>
          <w:rFonts w:ascii="仿宋" w:hAnsi="仿宋" w:eastAsia="仿宋"/>
          <w:color w:val="auto"/>
          <w:sz w:val="30"/>
          <w:szCs w:val="30"/>
        </w:rPr>
      </w:pPr>
    </w:p>
    <w:p w14:paraId="410E3220">
      <w:pPr>
        <w:spacing w:line="360" w:lineRule="auto"/>
        <w:ind w:firstLine="588" w:firstLineChars="196"/>
        <w:rPr>
          <w:rFonts w:ascii="仿宋" w:hAnsi="仿宋" w:eastAsia="仿宋"/>
          <w:b/>
          <w:bCs/>
          <w:color w:val="auto"/>
          <w:sz w:val="30"/>
          <w:szCs w:val="30"/>
        </w:rPr>
      </w:pPr>
      <w:r>
        <w:rPr>
          <w:rFonts w:hint="eastAsia" w:ascii="仿宋" w:hAnsi="仿宋" w:eastAsia="仿宋" w:cs="仿宋"/>
          <w:b/>
          <w:bCs/>
          <w:color w:val="auto"/>
          <w:sz w:val="30"/>
          <w:szCs w:val="30"/>
        </w:rPr>
        <w:t>一、应当提供的供应商资格、资质性及其他类似效力要求的相关证明材料</w:t>
      </w:r>
    </w:p>
    <w:p w14:paraId="17B44111">
      <w:pPr>
        <w:spacing w:line="360" w:lineRule="auto"/>
        <w:ind w:firstLine="588" w:firstLineChars="196"/>
        <w:rPr>
          <w:rFonts w:ascii="仿宋" w:hAnsi="仿宋" w:eastAsia="仿宋"/>
          <w:b/>
          <w:bCs/>
          <w:color w:val="auto"/>
          <w:sz w:val="30"/>
          <w:szCs w:val="30"/>
        </w:rPr>
      </w:pPr>
      <w:r>
        <w:rPr>
          <w:rFonts w:hint="eastAsia" w:ascii="仿宋" w:hAnsi="仿宋" w:eastAsia="仿宋" w:cs="仿宋"/>
          <w:b/>
          <w:bCs/>
          <w:color w:val="auto"/>
          <w:sz w:val="30"/>
          <w:szCs w:val="30"/>
        </w:rPr>
        <w:t>（一）资格要求相关证明材料：</w:t>
      </w:r>
    </w:p>
    <w:p w14:paraId="702C6860">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086F05D">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、具备良好商业信誉的证明材料（提供承诺函）；</w:t>
      </w:r>
    </w:p>
    <w:p w14:paraId="159F82B7">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、具备健全的财务会计制度的证明材料（提供承诺函）；</w:t>
      </w:r>
    </w:p>
    <w:p w14:paraId="02F34E33">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4</w:t>
      </w:r>
      <w:r>
        <w:rPr>
          <w:rFonts w:hint="eastAsia" w:ascii="仿宋" w:hAnsi="仿宋" w:eastAsia="仿宋" w:cs="仿宋"/>
          <w:color w:val="auto"/>
          <w:sz w:val="30"/>
          <w:szCs w:val="30"/>
        </w:rPr>
        <w:t>、具有依法缴纳税收和社会保障资金的良好记录（提供承诺函）；</w:t>
      </w:r>
    </w:p>
    <w:p w14:paraId="1B5EF1AA">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5</w:t>
      </w:r>
      <w:r>
        <w:rPr>
          <w:rFonts w:hint="eastAsia" w:ascii="仿宋" w:hAnsi="仿宋" w:eastAsia="仿宋" w:cs="仿宋"/>
          <w:color w:val="auto"/>
          <w:sz w:val="30"/>
          <w:szCs w:val="30"/>
        </w:rPr>
        <w:t>、具备履行合同所必需的设备和专业技术能力的证明材料（提供承诺函）；</w:t>
      </w:r>
    </w:p>
    <w:p w14:paraId="09C24FB4">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6</w:t>
      </w:r>
      <w:r>
        <w:rPr>
          <w:rFonts w:hint="eastAsia" w:ascii="仿宋" w:hAnsi="仿宋" w:eastAsia="仿宋" w:cs="仿宋"/>
          <w:color w:val="auto"/>
          <w:sz w:val="30"/>
          <w:szCs w:val="30"/>
        </w:rPr>
        <w:t>、参加政府采购活动前</w:t>
      </w:r>
      <w:r>
        <w:rPr>
          <w:rFonts w:ascii="仿宋" w:hAnsi="仿宋" w:eastAsia="仿宋" w:cs="仿宋"/>
          <w:color w:val="auto"/>
          <w:sz w:val="30"/>
          <w:szCs w:val="30"/>
        </w:rPr>
        <w:t>3</w:t>
      </w:r>
      <w:r>
        <w:rPr>
          <w:rFonts w:hint="eastAsia" w:ascii="仿宋" w:hAnsi="仿宋" w:eastAsia="仿宋" w:cs="仿宋"/>
          <w:color w:val="auto"/>
          <w:sz w:val="30"/>
          <w:szCs w:val="30"/>
        </w:rPr>
        <w:t>年内在经营活动中没有重大违法记录的承诺函（提供承诺函）；</w:t>
      </w:r>
    </w:p>
    <w:p w14:paraId="5607D78B">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7</w:t>
      </w:r>
      <w:r>
        <w:rPr>
          <w:rFonts w:hint="eastAsia" w:ascii="仿宋" w:hAnsi="仿宋" w:eastAsia="仿宋" w:cs="仿宋"/>
          <w:color w:val="auto"/>
          <w:sz w:val="30"/>
          <w:szCs w:val="30"/>
        </w:rPr>
        <w:t>、具备法律、行政法规规定的其他条件的证明材料（提供承诺函）；</w:t>
      </w:r>
    </w:p>
    <w:p w14:paraId="07F4B6E9">
      <w:pPr>
        <w:spacing w:line="360" w:lineRule="auto"/>
        <w:ind w:firstLine="588" w:firstLineChars="196"/>
        <w:rPr>
          <w:rFonts w:hint="eastAsia" w:ascii="仿宋" w:hAnsi="仿宋" w:eastAsia="仿宋" w:cs="仿宋"/>
          <w:color w:val="auto"/>
          <w:sz w:val="30"/>
          <w:szCs w:val="30"/>
        </w:rPr>
      </w:pPr>
      <w:r>
        <w:rPr>
          <w:rFonts w:ascii="仿宋" w:hAnsi="仿宋" w:eastAsia="仿宋" w:cs="仿宋"/>
          <w:color w:val="auto"/>
          <w:sz w:val="30"/>
          <w:szCs w:val="30"/>
        </w:rPr>
        <w:t>8</w:t>
      </w:r>
      <w:r>
        <w:rPr>
          <w:rFonts w:hint="eastAsia" w:ascii="仿宋" w:hAnsi="仿宋" w:eastAsia="仿宋" w:cs="仿宋"/>
          <w:color w:val="auto"/>
          <w:sz w:val="30"/>
          <w:szCs w:val="30"/>
        </w:rPr>
        <w:t>、根据采购项目提出的特殊条件：本项目不接受联合体谈判。</w:t>
      </w:r>
    </w:p>
    <w:p w14:paraId="2F66058E">
      <w:pPr>
        <w:pStyle w:val="37"/>
        <w:widowControl w:val="0"/>
        <w:autoSpaceDE w:val="0"/>
        <w:autoSpaceDN w:val="0"/>
        <w:adjustRightInd w:val="0"/>
        <w:spacing w:before="0" w:beforeAutospacing="0" w:after="0" w:afterAutospacing="0"/>
        <w:rPr>
          <w:b/>
          <w:bCs/>
          <w:color w:val="auto"/>
          <w:szCs w:val="24"/>
        </w:rPr>
      </w:pPr>
      <w:r>
        <w:rPr>
          <w:rFonts w:hint="eastAsia" w:ascii="仿宋" w:hAnsi="仿宋" w:eastAsia="仿宋" w:cs="仿宋"/>
          <w:b/>
          <w:bCs/>
          <w:color w:val="auto"/>
          <w:sz w:val="30"/>
          <w:szCs w:val="30"/>
        </w:rPr>
        <w:t>（二）</w:t>
      </w:r>
      <w:r>
        <w:rPr>
          <w:rFonts w:hint="eastAsia" w:ascii="仿宋" w:hAnsi="仿宋" w:eastAsia="仿宋" w:cs="仿宋"/>
          <w:b/>
          <w:bCs/>
          <w:color w:val="auto"/>
          <w:kern w:val="2"/>
          <w:sz w:val="30"/>
          <w:szCs w:val="30"/>
        </w:rPr>
        <w:t>落实政府采购政策需满足的资格要求：</w:t>
      </w:r>
    </w:p>
    <w:p w14:paraId="06015947">
      <w:pPr>
        <w:pStyle w:val="37"/>
        <w:widowControl w:val="0"/>
        <w:spacing w:before="0" w:beforeAutospacing="0" w:after="0" w:afterAutospacing="0" w:line="420" w:lineRule="exact"/>
        <w:ind w:firstLine="600" w:firstLineChars="200"/>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落实政府采购政策需满足的资格要求：本项目专门面向中小企业采购。</w:t>
      </w:r>
    </w:p>
    <w:p w14:paraId="46D4D771">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提供中小企业声明函原件；</w:t>
      </w:r>
    </w:p>
    <w:p w14:paraId="68DAF424">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提供残疾人福利性单位声明函原件；</w:t>
      </w:r>
    </w:p>
    <w:p w14:paraId="0EF4977B">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提供监狱企业证明材料复印件</w:t>
      </w:r>
    </w:p>
    <w:p w14:paraId="6E933F31">
      <w:pPr>
        <w:pStyle w:val="37"/>
        <w:widowControl w:val="0"/>
        <w:spacing w:before="0" w:beforeAutospacing="0" w:after="0" w:afterAutospacing="0" w:line="420" w:lineRule="exact"/>
        <w:ind w:firstLine="600" w:firstLineChars="200"/>
        <w:jc w:val="both"/>
        <w:rPr>
          <w:rFonts w:ascii="仿宋" w:hAnsi="仿宋" w:eastAsia="仿宋" w:cs="仿宋"/>
          <w:b/>
          <w:bCs/>
          <w:color w:val="auto"/>
          <w:sz w:val="30"/>
          <w:szCs w:val="30"/>
        </w:rPr>
      </w:pPr>
      <w:r>
        <w:rPr>
          <w:rFonts w:hint="eastAsia" w:ascii="仿宋" w:hAnsi="仿宋" w:eastAsia="仿宋" w:cs="仿宋"/>
          <w:color w:val="auto"/>
          <w:kern w:val="2"/>
          <w:sz w:val="30"/>
          <w:szCs w:val="30"/>
        </w:rPr>
        <w:t>注：供应商根据自身情况选择提供以上（1）-（3）项其中之一。</w:t>
      </w:r>
    </w:p>
    <w:p w14:paraId="3CC021DF">
      <w:pPr>
        <w:spacing w:line="360" w:lineRule="auto"/>
        <w:rPr>
          <w:rFonts w:ascii="仿宋" w:hAnsi="仿宋" w:eastAsia="仿宋"/>
          <w:b/>
          <w:bCs/>
          <w:color w:val="auto"/>
          <w:sz w:val="30"/>
          <w:szCs w:val="30"/>
        </w:rPr>
      </w:pPr>
      <w:r>
        <w:rPr>
          <w:rFonts w:hint="eastAsia" w:ascii="仿宋" w:hAnsi="仿宋" w:eastAsia="仿宋" w:cs="仿宋"/>
          <w:b/>
          <w:bCs/>
          <w:color w:val="auto"/>
          <w:sz w:val="30"/>
          <w:szCs w:val="30"/>
        </w:rPr>
        <w:t>（三）其他类似效力要求相关证明材料：</w:t>
      </w:r>
    </w:p>
    <w:p w14:paraId="14B7C73B">
      <w:pPr>
        <w:spacing w:line="360" w:lineRule="auto"/>
        <w:ind w:firstLine="480"/>
        <w:rPr>
          <w:rFonts w:ascii="仿宋" w:hAnsi="仿宋" w:eastAsia="仿宋"/>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1</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单位负责人身份证明材料复印件。</w:t>
      </w:r>
    </w:p>
    <w:p w14:paraId="2F9ECAA0">
      <w:pPr>
        <w:spacing w:line="360" w:lineRule="auto"/>
        <w:ind w:firstLine="480"/>
        <w:rPr>
          <w:rFonts w:ascii="仿宋" w:hAnsi="仿宋" w:eastAsia="仿宋" w:cs="仿宋"/>
          <w:b/>
          <w:bCs/>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2</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单位负责人授权代理书原件及代理人身份证明材料复印件（注：①法定代表人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单位负责人授权代理书原件需加盖公章；②如响应文件均由供应商法定代表人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单位负责人签字或加盖私人印章的且法定代表人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单位负责人本人参与谈判的，则可不提供。）</w:t>
      </w:r>
    </w:p>
    <w:p w14:paraId="1D5198CF">
      <w:pPr>
        <w:spacing w:line="360" w:lineRule="auto"/>
        <w:rPr>
          <w:color w:val="auto"/>
          <w:sz w:val="28"/>
          <w:szCs w:val="28"/>
        </w:rPr>
      </w:pPr>
      <w:r>
        <w:rPr>
          <w:rFonts w:hint="eastAsia" w:ascii="仿宋" w:hAnsi="仿宋" w:eastAsia="仿宋" w:cs="仿宋"/>
          <w:b/>
          <w:bCs/>
          <w:color w:val="auto"/>
          <w:sz w:val="28"/>
          <w:szCs w:val="28"/>
        </w:rPr>
        <w:t>注：以上要求的资料复印件</w:t>
      </w:r>
      <w:r>
        <w:rPr>
          <w:rFonts w:hint="eastAsia" w:ascii="仿宋" w:hAnsi="仿宋" w:eastAsia="仿宋" w:cs="仿宋"/>
          <w:b/>
          <w:bCs/>
          <w:color w:val="auto"/>
          <w:kern w:val="0"/>
          <w:sz w:val="28"/>
          <w:szCs w:val="28"/>
        </w:rPr>
        <w:t>（身份证明材料、采购文件购买情况证明材料除外）</w:t>
      </w:r>
      <w:r>
        <w:rPr>
          <w:rFonts w:hint="eastAsia" w:ascii="仿宋" w:hAnsi="仿宋" w:eastAsia="仿宋" w:cs="仿宋"/>
          <w:b/>
          <w:bCs/>
          <w:color w:val="auto"/>
          <w:sz w:val="28"/>
          <w:szCs w:val="28"/>
        </w:rPr>
        <w:t>均须加盖供应商单位的公章（鲜章），证明材料是双面的，在单面加盖公章，不影响响应文件的实质有效性。</w:t>
      </w:r>
      <w:bookmarkStart w:id="80" w:name="_Toc41037906"/>
      <w:bookmarkStart w:id="81" w:name="_Toc509579144"/>
    </w:p>
    <w:p w14:paraId="452A7A58">
      <w:pPr>
        <w:pStyle w:val="38"/>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第五章采购项目技术、服务、政府采购合同内容条款</w:t>
      </w:r>
    </w:p>
    <w:p w14:paraId="1D2B51AF">
      <w:pPr>
        <w:pStyle w:val="38"/>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color w:val="auto"/>
        </w:rPr>
      </w:pPr>
      <w:r>
        <w:rPr>
          <w:rFonts w:hint="eastAsia" w:ascii="仿宋" w:hAnsi="仿宋" w:eastAsia="仿宋" w:cs="仿宋"/>
          <w:color w:val="auto"/>
        </w:rPr>
        <w:t>及其他商务要求</w:t>
      </w:r>
      <w:bookmarkEnd w:id="80"/>
      <w:bookmarkEnd w:id="81"/>
    </w:p>
    <w:p w14:paraId="624AD225">
      <w:pPr>
        <w:numPr>
          <w:ilvl w:val="0"/>
          <w:numId w:val="0"/>
        </w:numPr>
        <w:snapToGrid w:val="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一、</w:t>
      </w:r>
      <w:r>
        <w:rPr>
          <w:rFonts w:hint="eastAsia" w:ascii="仿宋" w:hAnsi="仿宋" w:eastAsia="仿宋" w:cs="仿宋"/>
          <w:b/>
          <w:bCs/>
          <w:color w:val="auto"/>
          <w:sz w:val="30"/>
          <w:szCs w:val="30"/>
        </w:rPr>
        <w:t>项目概况</w:t>
      </w:r>
    </w:p>
    <w:p w14:paraId="6D80CA37">
      <w:pPr>
        <w:pStyle w:val="1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1、项目名称：四川川信致远资产经营管理有限公司自动售货机销售食品饮料采购项目</w:t>
      </w:r>
    </w:p>
    <w:p w14:paraId="16F1C48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b/>
          <w:bCs/>
          <w:color w:val="auto"/>
          <w:sz w:val="30"/>
          <w:szCs w:val="30"/>
        </w:rPr>
      </w:pPr>
      <w:r>
        <w:rPr>
          <w:rFonts w:hint="eastAsia" w:ascii="仿宋" w:hAnsi="仿宋" w:eastAsia="仿宋" w:cs="仿宋"/>
          <w:color w:val="auto"/>
          <w:kern w:val="2"/>
          <w:sz w:val="30"/>
          <w:szCs w:val="30"/>
          <w:lang w:val="en-US" w:eastAsia="zh-CN" w:bidi="ar-SA"/>
        </w:rPr>
        <w:t>2、采购内容：采购自动售货机销售食品饮料</w:t>
      </w:r>
    </w:p>
    <w:p w14:paraId="6E4A982C">
      <w:pPr>
        <w:snapToGrid w:val="0"/>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rPr>
        <w:t>二、</w:t>
      </w:r>
      <w:r>
        <w:rPr>
          <w:rFonts w:hint="eastAsia" w:ascii="仿宋" w:hAnsi="仿宋" w:eastAsia="仿宋" w:cs="仿宋"/>
          <w:b/>
          <w:bCs/>
          <w:color w:val="auto"/>
          <w:sz w:val="30"/>
          <w:szCs w:val="30"/>
          <w:lang w:val="en-US" w:eastAsia="zh-CN"/>
        </w:rPr>
        <w:t>货物清单</w:t>
      </w:r>
    </w:p>
    <w:tbl>
      <w:tblPr>
        <w:tblStyle w:val="42"/>
        <w:tblW w:w="7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870"/>
        <w:gridCol w:w="2709"/>
        <w:gridCol w:w="1024"/>
        <w:gridCol w:w="1348"/>
      </w:tblGrid>
      <w:tr w14:paraId="4914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434" w:type="dxa"/>
            <w:tcMar>
              <w:top w:w="0" w:type="dxa"/>
              <w:left w:w="105" w:type="dxa"/>
              <w:bottom w:w="0" w:type="dxa"/>
              <w:right w:w="105" w:type="dxa"/>
            </w:tcMar>
            <w:vAlign w:val="top"/>
          </w:tcPr>
          <w:p w14:paraId="134CCD6F">
            <w:pPr>
              <w:pStyle w:val="172"/>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760" w:type="dxa"/>
            <w:tcMar>
              <w:top w:w="0" w:type="dxa"/>
              <w:left w:w="105" w:type="dxa"/>
              <w:bottom w:w="0" w:type="dxa"/>
              <w:right w:w="105" w:type="dxa"/>
            </w:tcMar>
            <w:vAlign w:val="top"/>
          </w:tcPr>
          <w:p w14:paraId="1E870656">
            <w:pPr>
              <w:pStyle w:val="172"/>
              <w:jc w:val="center"/>
              <w:rPr>
                <w:rFonts w:hint="eastAsia" w:ascii="宋体" w:hAnsi="宋体" w:eastAsia="宋体" w:cs="宋体"/>
                <w:sz w:val="21"/>
                <w:szCs w:val="21"/>
              </w:rPr>
            </w:pPr>
            <w:r>
              <w:rPr>
                <w:rFonts w:hint="eastAsia" w:ascii="宋体" w:hAnsi="宋体" w:eastAsia="宋体" w:cs="宋体"/>
                <w:b/>
                <w:sz w:val="21"/>
                <w:szCs w:val="21"/>
              </w:rPr>
              <w:t>标的名称</w:t>
            </w:r>
          </w:p>
        </w:tc>
        <w:tc>
          <w:tcPr>
            <w:tcW w:w="2759" w:type="dxa"/>
            <w:tcMar>
              <w:top w:w="0" w:type="dxa"/>
              <w:left w:w="105" w:type="dxa"/>
              <w:bottom w:w="0" w:type="dxa"/>
              <w:right w:w="105" w:type="dxa"/>
            </w:tcMar>
            <w:vAlign w:val="top"/>
          </w:tcPr>
          <w:p w14:paraId="379960C5">
            <w:pPr>
              <w:pStyle w:val="172"/>
              <w:jc w:val="center"/>
              <w:rPr>
                <w:rFonts w:hint="eastAsia" w:ascii="宋体" w:hAnsi="宋体" w:eastAsia="宋体" w:cs="宋体"/>
                <w:sz w:val="21"/>
                <w:szCs w:val="21"/>
              </w:rPr>
            </w:pPr>
            <w:r>
              <w:rPr>
                <w:rFonts w:hint="eastAsia" w:ascii="宋体" w:hAnsi="宋体" w:eastAsia="宋体" w:cs="宋体"/>
                <w:b/>
                <w:sz w:val="21"/>
                <w:szCs w:val="21"/>
              </w:rPr>
              <w:t>技术参数要求</w:t>
            </w:r>
          </w:p>
        </w:tc>
        <w:tc>
          <w:tcPr>
            <w:tcW w:w="1033" w:type="dxa"/>
            <w:tcMar>
              <w:top w:w="0" w:type="dxa"/>
              <w:left w:w="105" w:type="dxa"/>
              <w:bottom w:w="0" w:type="dxa"/>
              <w:right w:w="105" w:type="dxa"/>
            </w:tcMar>
            <w:vAlign w:val="top"/>
          </w:tcPr>
          <w:p w14:paraId="55AF6520">
            <w:pPr>
              <w:pStyle w:val="172"/>
              <w:jc w:val="center"/>
              <w:rPr>
                <w:rFonts w:hint="eastAsia" w:ascii="宋体" w:hAnsi="宋体" w:eastAsia="宋体" w:cs="宋体"/>
                <w:sz w:val="21"/>
                <w:szCs w:val="21"/>
              </w:rPr>
            </w:pPr>
            <w:r>
              <w:rPr>
                <w:rFonts w:hint="eastAsia" w:ascii="宋体" w:hAnsi="宋体" w:eastAsia="宋体" w:cs="宋体"/>
                <w:b/>
                <w:sz w:val="21"/>
                <w:szCs w:val="21"/>
              </w:rPr>
              <w:t>单价最高限价(含税供货价)</w:t>
            </w:r>
          </w:p>
          <w:p w14:paraId="24785A5E">
            <w:pPr>
              <w:pStyle w:val="172"/>
              <w:jc w:val="center"/>
              <w:rPr>
                <w:rFonts w:hint="eastAsia" w:ascii="宋体" w:hAnsi="宋体" w:eastAsia="宋体" w:cs="宋体"/>
                <w:sz w:val="21"/>
                <w:szCs w:val="21"/>
              </w:rPr>
            </w:pPr>
            <w:r>
              <w:rPr>
                <w:rFonts w:hint="eastAsia" w:ascii="宋体" w:hAnsi="宋体" w:eastAsia="宋体" w:cs="宋体"/>
                <w:b/>
                <w:sz w:val="21"/>
                <w:szCs w:val="21"/>
              </w:rPr>
              <w:t>（元）</w:t>
            </w:r>
          </w:p>
        </w:tc>
        <w:tc>
          <w:tcPr>
            <w:tcW w:w="1373" w:type="dxa"/>
            <w:tcMar>
              <w:top w:w="0" w:type="dxa"/>
              <w:left w:w="105" w:type="dxa"/>
              <w:bottom w:w="0" w:type="dxa"/>
              <w:right w:w="105" w:type="dxa"/>
            </w:tcMar>
            <w:vAlign w:val="top"/>
          </w:tcPr>
          <w:p w14:paraId="5F923B96">
            <w:pPr>
              <w:pStyle w:val="172"/>
              <w:jc w:val="center"/>
              <w:rPr>
                <w:rFonts w:hint="eastAsia" w:ascii="宋体" w:hAnsi="宋体" w:eastAsia="宋体" w:cs="宋体"/>
                <w:sz w:val="21"/>
                <w:szCs w:val="21"/>
              </w:rPr>
            </w:pPr>
            <w:r>
              <w:rPr>
                <w:rFonts w:hint="eastAsia" w:ascii="宋体" w:hAnsi="宋体" w:eastAsia="宋体" w:cs="宋体"/>
                <w:b/>
                <w:sz w:val="21"/>
                <w:szCs w:val="21"/>
              </w:rPr>
              <w:t>计量单位</w:t>
            </w:r>
          </w:p>
        </w:tc>
      </w:tr>
      <w:tr w14:paraId="3244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434" w:type="dxa"/>
            <w:tcMar>
              <w:top w:w="0" w:type="dxa"/>
              <w:left w:w="105" w:type="dxa"/>
              <w:bottom w:w="0" w:type="dxa"/>
              <w:right w:w="105" w:type="dxa"/>
            </w:tcMar>
            <w:vAlign w:val="top"/>
          </w:tcPr>
          <w:p w14:paraId="7293ACF2">
            <w:pPr>
              <w:pStyle w:val="172"/>
              <w:ind w:firstLine="562"/>
              <w:jc w:val="center"/>
              <w:rPr>
                <w:rFonts w:hint="eastAsia" w:ascii="宋体" w:hAnsi="宋体" w:eastAsia="宋体" w:cs="宋体"/>
                <w:sz w:val="21"/>
                <w:szCs w:val="21"/>
              </w:rPr>
            </w:pPr>
            <w:r>
              <w:rPr>
                <w:rFonts w:hint="eastAsia" w:ascii="宋体" w:hAnsi="宋体" w:eastAsia="宋体" w:cs="宋体"/>
                <w:sz w:val="21"/>
                <w:szCs w:val="21"/>
              </w:rPr>
              <w:t>1</w:t>
            </w:r>
          </w:p>
        </w:tc>
        <w:tc>
          <w:tcPr>
            <w:tcW w:w="760" w:type="dxa"/>
            <w:tcMar>
              <w:top w:w="0" w:type="dxa"/>
              <w:left w:w="105" w:type="dxa"/>
              <w:bottom w:w="0" w:type="dxa"/>
              <w:right w:w="105" w:type="dxa"/>
            </w:tcMar>
            <w:vAlign w:val="top"/>
          </w:tcPr>
          <w:p w14:paraId="3D1FC21A">
            <w:pPr>
              <w:pStyle w:val="172"/>
              <w:jc w:val="center"/>
              <w:rPr>
                <w:rFonts w:hint="eastAsia" w:ascii="宋体" w:hAnsi="宋体" w:eastAsia="宋体" w:cs="宋体"/>
                <w:sz w:val="21"/>
                <w:szCs w:val="21"/>
              </w:rPr>
            </w:pPr>
            <w:r>
              <w:rPr>
                <w:rFonts w:hint="eastAsia" w:ascii="宋体" w:hAnsi="宋体" w:eastAsia="宋体" w:cs="宋体"/>
                <w:b/>
                <w:sz w:val="21"/>
                <w:szCs w:val="21"/>
              </w:rPr>
              <w:t>茶饮料1</w:t>
            </w:r>
          </w:p>
        </w:tc>
        <w:tc>
          <w:tcPr>
            <w:tcW w:w="2759" w:type="dxa"/>
          </w:tcPr>
          <w:p w14:paraId="1D7B5BCB">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1.每瓶净含量：490ml~550ml，有红茶、绿茶、金桔、青梅绿茶等多种口味，开瓶即饮；</w:t>
            </w:r>
          </w:p>
          <w:p w14:paraId="0AF63FE0">
            <w:pPr>
              <w:pStyle w:val="172"/>
              <w:jc w:val="left"/>
              <w:rPr>
                <w:rFonts w:hint="eastAsia" w:ascii="宋体" w:hAnsi="宋体" w:eastAsia="宋体" w:cs="宋体"/>
                <w:sz w:val="21"/>
                <w:szCs w:val="21"/>
              </w:rPr>
            </w:pPr>
            <w:r>
              <w:rPr>
                <w:rFonts w:hint="eastAsia" w:ascii="宋体" w:hAnsi="宋体" w:eastAsia="宋体" w:cs="宋体"/>
                <w:sz w:val="21"/>
                <w:szCs w:val="21"/>
              </w:rPr>
              <w:t>2.茶多酚、咖啡因等原料符合国家标准；</w:t>
            </w:r>
          </w:p>
          <w:p w14:paraId="2AB81C71">
            <w:pPr>
              <w:pStyle w:val="172"/>
              <w:jc w:val="left"/>
              <w:rPr>
                <w:rFonts w:hint="eastAsia" w:ascii="宋体" w:hAnsi="宋体" w:eastAsia="宋体" w:cs="宋体"/>
                <w:sz w:val="21"/>
                <w:szCs w:val="21"/>
              </w:rPr>
            </w:pPr>
            <w:r>
              <w:rPr>
                <w:rFonts w:hint="eastAsia" w:ascii="宋体" w:hAnsi="宋体" w:eastAsia="宋体" w:cs="宋体"/>
                <w:sz w:val="21"/>
                <w:szCs w:val="21"/>
              </w:rPr>
              <w:t>3.符合GB/T 21733-2008《茶饮料》标准规定。</w:t>
            </w:r>
          </w:p>
        </w:tc>
        <w:tc>
          <w:tcPr>
            <w:tcW w:w="1033" w:type="dxa"/>
            <w:tcMar>
              <w:top w:w="0" w:type="dxa"/>
              <w:left w:w="105" w:type="dxa"/>
              <w:bottom w:w="0" w:type="dxa"/>
              <w:right w:w="105" w:type="dxa"/>
            </w:tcMar>
            <w:vAlign w:val="top"/>
          </w:tcPr>
          <w:p w14:paraId="0F34EEF5">
            <w:pPr>
              <w:pStyle w:val="172"/>
              <w:jc w:val="center"/>
              <w:rPr>
                <w:rFonts w:hint="eastAsia" w:ascii="宋体" w:hAnsi="宋体" w:eastAsia="宋体" w:cs="宋体"/>
                <w:sz w:val="21"/>
                <w:szCs w:val="21"/>
              </w:rPr>
            </w:pPr>
            <w:r>
              <w:rPr>
                <w:rFonts w:hint="eastAsia" w:ascii="宋体" w:hAnsi="宋体" w:eastAsia="宋体" w:cs="宋体"/>
                <w:sz w:val="21"/>
                <w:szCs w:val="21"/>
              </w:rPr>
              <w:t>2.40</w:t>
            </w:r>
          </w:p>
        </w:tc>
        <w:tc>
          <w:tcPr>
            <w:tcW w:w="1373" w:type="dxa"/>
            <w:tcMar>
              <w:top w:w="0" w:type="dxa"/>
              <w:left w:w="105" w:type="dxa"/>
              <w:bottom w:w="0" w:type="dxa"/>
              <w:right w:w="105" w:type="dxa"/>
            </w:tcMar>
            <w:vAlign w:val="top"/>
          </w:tcPr>
          <w:p w14:paraId="3E1F2EBD">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0494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434" w:type="dxa"/>
            <w:tcMar>
              <w:top w:w="0" w:type="dxa"/>
              <w:left w:w="105" w:type="dxa"/>
              <w:bottom w:w="0" w:type="dxa"/>
              <w:right w:w="105" w:type="dxa"/>
            </w:tcMar>
            <w:vAlign w:val="top"/>
          </w:tcPr>
          <w:p w14:paraId="1D52CC51">
            <w:pPr>
              <w:pStyle w:val="172"/>
              <w:ind w:firstLine="562"/>
              <w:jc w:val="center"/>
              <w:rPr>
                <w:rFonts w:hint="eastAsia" w:ascii="宋体" w:hAnsi="宋体" w:eastAsia="宋体" w:cs="宋体"/>
                <w:sz w:val="21"/>
                <w:szCs w:val="21"/>
              </w:rPr>
            </w:pPr>
            <w:r>
              <w:rPr>
                <w:rFonts w:hint="eastAsia" w:ascii="宋体" w:hAnsi="宋体" w:eastAsia="宋体" w:cs="宋体"/>
                <w:sz w:val="21"/>
                <w:szCs w:val="21"/>
              </w:rPr>
              <w:t>2</w:t>
            </w:r>
          </w:p>
        </w:tc>
        <w:tc>
          <w:tcPr>
            <w:tcW w:w="760" w:type="dxa"/>
            <w:tcMar>
              <w:top w:w="0" w:type="dxa"/>
              <w:left w:w="105" w:type="dxa"/>
              <w:bottom w:w="0" w:type="dxa"/>
              <w:right w:w="105" w:type="dxa"/>
            </w:tcMar>
            <w:vAlign w:val="top"/>
          </w:tcPr>
          <w:p w14:paraId="20D216CF">
            <w:pPr>
              <w:pStyle w:val="172"/>
              <w:jc w:val="center"/>
              <w:rPr>
                <w:rFonts w:hint="eastAsia" w:ascii="宋体" w:hAnsi="宋体" w:eastAsia="宋体" w:cs="宋体"/>
                <w:sz w:val="21"/>
                <w:szCs w:val="21"/>
              </w:rPr>
            </w:pPr>
            <w:r>
              <w:rPr>
                <w:rFonts w:hint="eastAsia" w:ascii="宋体" w:hAnsi="宋体" w:eastAsia="宋体" w:cs="宋体"/>
                <w:b/>
                <w:sz w:val="21"/>
                <w:szCs w:val="21"/>
              </w:rPr>
              <w:t>茶饮料2</w:t>
            </w:r>
          </w:p>
        </w:tc>
        <w:tc>
          <w:tcPr>
            <w:tcW w:w="2759" w:type="dxa"/>
          </w:tcPr>
          <w:p w14:paraId="49463680">
            <w:pPr>
              <w:pStyle w:val="172"/>
              <w:jc w:val="left"/>
              <w:rPr>
                <w:rFonts w:hint="eastAsia" w:ascii="宋体" w:hAnsi="宋体" w:eastAsia="宋体" w:cs="宋体"/>
                <w:sz w:val="21"/>
                <w:szCs w:val="21"/>
              </w:rPr>
            </w:pPr>
            <w:r>
              <w:rPr>
                <w:rFonts w:hint="eastAsia" w:ascii="宋体" w:hAnsi="宋体" w:eastAsia="宋体" w:cs="宋体"/>
                <w:sz w:val="21"/>
                <w:szCs w:val="21"/>
              </w:rPr>
              <w:t>1.每瓶净含量：410ml~430ml，有绿茶、乌龙茶、花茶等多种口味，开瓶即饮；</w:t>
            </w:r>
          </w:p>
          <w:p w14:paraId="0D797794">
            <w:pPr>
              <w:pStyle w:val="172"/>
              <w:jc w:val="left"/>
              <w:rPr>
                <w:rFonts w:hint="eastAsia" w:ascii="宋体" w:hAnsi="宋体" w:eastAsia="宋体" w:cs="宋体"/>
                <w:sz w:val="21"/>
                <w:szCs w:val="21"/>
              </w:rPr>
            </w:pPr>
            <w:r>
              <w:rPr>
                <w:rFonts w:hint="eastAsia" w:ascii="宋体" w:hAnsi="宋体" w:eastAsia="宋体" w:cs="宋体"/>
                <w:sz w:val="21"/>
                <w:szCs w:val="21"/>
              </w:rPr>
              <w:t>2.茶多酚、咖啡因等原料符合国家标准；</w:t>
            </w:r>
          </w:p>
          <w:p w14:paraId="0F063D2A">
            <w:pPr>
              <w:pStyle w:val="172"/>
              <w:jc w:val="left"/>
              <w:rPr>
                <w:rFonts w:hint="eastAsia" w:ascii="宋体" w:hAnsi="宋体" w:eastAsia="宋体" w:cs="宋体"/>
                <w:sz w:val="21"/>
                <w:szCs w:val="21"/>
              </w:rPr>
            </w:pPr>
            <w:r>
              <w:rPr>
                <w:rFonts w:hint="eastAsia" w:ascii="宋体" w:hAnsi="宋体" w:eastAsia="宋体" w:cs="宋体"/>
                <w:sz w:val="21"/>
                <w:szCs w:val="21"/>
              </w:rPr>
              <w:t>3.符合GB/T 21733-2008《茶饮料》标准规定。</w:t>
            </w:r>
          </w:p>
        </w:tc>
        <w:tc>
          <w:tcPr>
            <w:tcW w:w="1033" w:type="dxa"/>
            <w:tcMar>
              <w:top w:w="0" w:type="dxa"/>
              <w:left w:w="105" w:type="dxa"/>
              <w:bottom w:w="0" w:type="dxa"/>
              <w:right w:w="105" w:type="dxa"/>
            </w:tcMar>
            <w:vAlign w:val="top"/>
          </w:tcPr>
          <w:p w14:paraId="6B769E57">
            <w:pPr>
              <w:pStyle w:val="172"/>
              <w:jc w:val="center"/>
              <w:rPr>
                <w:rFonts w:hint="eastAsia" w:ascii="宋体" w:hAnsi="宋体" w:eastAsia="宋体" w:cs="宋体"/>
                <w:sz w:val="21"/>
                <w:szCs w:val="21"/>
              </w:rPr>
            </w:pPr>
            <w:r>
              <w:rPr>
                <w:rFonts w:hint="eastAsia" w:ascii="宋体" w:hAnsi="宋体" w:eastAsia="宋体" w:cs="宋体"/>
                <w:sz w:val="21"/>
                <w:szCs w:val="21"/>
              </w:rPr>
              <w:t>4.10</w:t>
            </w:r>
          </w:p>
        </w:tc>
        <w:tc>
          <w:tcPr>
            <w:tcW w:w="1373" w:type="dxa"/>
            <w:tcMar>
              <w:top w:w="0" w:type="dxa"/>
              <w:left w:w="105" w:type="dxa"/>
              <w:bottom w:w="0" w:type="dxa"/>
              <w:right w:w="105" w:type="dxa"/>
            </w:tcMar>
            <w:vAlign w:val="top"/>
          </w:tcPr>
          <w:p w14:paraId="5674536F">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2A32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434" w:type="dxa"/>
            <w:tcMar>
              <w:top w:w="0" w:type="dxa"/>
              <w:left w:w="105" w:type="dxa"/>
              <w:bottom w:w="0" w:type="dxa"/>
              <w:right w:w="105" w:type="dxa"/>
            </w:tcMar>
            <w:vAlign w:val="top"/>
          </w:tcPr>
          <w:p w14:paraId="44A8ACA5">
            <w:pPr>
              <w:pStyle w:val="172"/>
              <w:jc w:val="center"/>
              <w:rPr>
                <w:rFonts w:hint="eastAsia" w:ascii="宋体" w:hAnsi="宋体" w:eastAsia="宋体" w:cs="宋体"/>
                <w:sz w:val="21"/>
                <w:szCs w:val="21"/>
              </w:rPr>
            </w:pPr>
            <w:r>
              <w:rPr>
                <w:rFonts w:hint="eastAsia" w:ascii="宋体" w:hAnsi="宋体" w:eastAsia="宋体" w:cs="宋体"/>
                <w:sz w:val="21"/>
                <w:szCs w:val="21"/>
              </w:rPr>
              <w:t>3</w:t>
            </w:r>
          </w:p>
        </w:tc>
        <w:tc>
          <w:tcPr>
            <w:tcW w:w="760" w:type="dxa"/>
            <w:tcMar>
              <w:top w:w="0" w:type="dxa"/>
              <w:left w:w="105" w:type="dxa"/>
              <w:bottom w:w="0" w:type="dxa"/>
              <w:right w:w="105" w:type="dxa"/>
            </w:tcMar>
            <w:vAlign w:val="top"/>
          </w:tcPr>
          <w:p w14:paraId="062C5209">
            <w:pPr>
              <w:pStyle w:val="172"/>
              <w:jc w:val="center"/>
              <w:rPr>
                <w:rFonts w:hint="eastAsia" w:ascii="宋体" w:hAnsi="宋体" w:eastAsia="宋体" w:cs="宋体"/>
                <w:sz w:val="21"/>
                <w:szCs w:val="21"/>
              </w:rPr>
            </w:pPr>
            <w:r>
              <w:rPr>
                <w:rFonts w:hint="eastAsia" w:ascii="宋体" w:hAnsi="宋体" w:eastAsia="宋体" w:cs="宋体"/>
                <w:b/>
                <w:sz w:val="21"/>
                <w:szCs w:val="21"/>
              </w:rPr>
              <w:t>茶饮料3</w:t>
            </w:r>
          </w:p>
        </w:tc>
        <w:tc>
          <w:tcPr>
            <w:tcW w:w="2759" w:type="dxa"/>
          </w:tcPr>
          <w:p w14:paraId="58E935F2">
            <w:pPr>
              <w:pStyle w:val="172"/>
              <w:jc w:val="left"/>
              <w:rPr>
                <w:rFonts w:hint="eastAsia" w:ascii="宋体" w:hAnsi="宋体" w:eastAsia="宋体" w:cs="宋体"/>
                <w:sz w:val="21"/>
                <w:szCs w:val="21"/>
              </w:rPr>
            </w:pPr>
            <w:r>
              <w:rPr>
                <w:rFonts w:hint="eastAsia" w:ascii="宋体" w:hAnsi="宋体" w:eastAsia="宋体" w:cs="宋体"/>
                <w:sz w:val="21"/>
                <w:szCs w:val="21"/>
              </w:rPr>
              <w:t>1.每瓶净含量：470ml~480ml，有青柠红茶等多种口味，开瓶即饮；</w:t>
            </w:r>
          </w:p>
          <w:p w14:paraId="460002FE">
            <w:pPr>
              <w:pStyle w:val="172"/>
              <w:jc w:val="left"/>
              <w:rPr>
                <w:rFonts w:hint="eastAsia" w:ascii="宋体" w:hAnsi="宋体" w:eastAsia="宋体" w:cs="宋体"/>
                <w:sz w:val="21"/>
                <w:szCs w:val="21"/>
              </w:rPr>
            </w:pPr>
            <w:r>
              <w:rPr>
                <w:rFonts w:hint="eastAsia" w:ascii="宋体" w:hAnsi="宋体" w:eastAsia="宋体" w:cs="宋体"/>
                <w:sz w:val="21"/>
                <w:szCs w:val="21"/>
              </w:rPr>
              <w:t>2.茶多酚、咖啡因等原料符合国家标准；</w:t>
            </w:r>
          </w:p>
          <w:p w14:paraId="396CCEC4">
            <w:pPr>
              <w:pStyle w:val="172"/>
              <w:jc w:val="left"/>
              <w:rPr>
                <w:rFonts w:hint="eastAsia" w:ascii="宋体" w:hAnsi="宋体" w:eastAsia="宋体" w:cs="宋体"/>
                <w:sz w:val="21"/>
                <w:szCs w:val="21"/>
              </w:rPr>
            </w:pPr>
            <w:r>
              <w:rPr>
                <w:rFonts w:hint="eastAsia" w:ascii="宋体" w:hAnsi="宋体" w:eastAsia="宋体" w:cs="宋体"/>
                <w:sz w:val="21"/>
                <w:szCs w:val="21"/>
              </w:rPr>
              <w:t>3.符合GB/T 21733-2008《茶饮料》标准规定。</w:t>
            </w:r>
          </w:p>
        </w:tc>
        <w:tc>
          <w:tcPr>
            <w:tcW w:w="1033" w:type="dxa"/>
            <w:tcMar>
              <w:top w:w="0" w:type="dxa"/>
              <w:left w:w="105" w:type="dxa"/>
              <w:bottom w:w="0" w:type="dxa"/>
              <w:right w:w="105" w:type="dxa"/>
            </w:tcMar>
            <w:vAlign w:val="top"/>
          </w:tcPr>
          <w:p w14:paraId="2C35F707">
            <w:pPr>
              <w:pStyle w:val="172"/>
              <w:jc w:val="center"/>
              <w:rPr>
                <w:rFonts w:hint="eastAsia" w:ascii="宋体" w:hAnsi="宋体" w:eastAsia="宋体" w:cs="宋体"/>
                <w:sz w:val="21"/>
                <w:szCs w:val="21"/>
              </w:rPr>
            </w:pPr>
            <w:r>
              <w:rPr>
                <w:rFonts w:hint="eastAsia" w:ascii="宋体" w:hAnsi="宋体" w:eastAsia="宋体" w:cs="宋体"/>
                <w:sz w:val="21"/>
                <w:szCs w:val="21"/>
              </w:rPr>
              <w:t>4.10</w:t>
            </w:r>
          </w:p>
        </w:tc>
        <w:tc>
          <w:tcPr>
            <w:tcW w:w="1373" w:type="dxa"/>
            <w:tcMar>
              <w:top w:w="0" w:type="dxa"/>
              <w:left w:w="105" w:type="dxa"/>
              <w:bottom w:w="0" w:type="dxa"/>
              <w:right w:w="105" w:type="dxa"/>
            </w:tcMar>
            <w:vAlign w:val="top"/>
          </w:tcPr>
          <w:p w14:paraId="1FEF143B">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6EDD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434" w:type="dxa"/>
            <w:tcMar>
              <w:top w:w="0" w:type="dxa"/>
              <w:left w:w="105" w:type="dxa"/>
              <w:bottom w:w="0" w:type="dxa"/>
              <w:right w:w="105" w:type="dxa"/>
            </w:tcMar>
            <w:vAlign w:val="top"/>
          </w:tcPr>
          <w:p w14:paraId="762EECA8">
            <w:pPr>
              <w:pStyle w:val="172"/>
              <w:jc w:val="center"/>
              <w:rPr>
                <w:rFonts w:hint="eastAsia" w:ascii="宋体" w:hAnsi="宋体" w:eastAsia="宋体" w:cs="宋体"/>
                <w:sz w:val="21"/>
                <w:szCs w:val="21"/>
              </w:rPr>
            </w:pPr>
            <w:r>
              <w:rPr>
                <w:rFonts w:hint="eastAsia" w:ascii="宋体" w:hAnsi="宋体" w:eastAsia="宋体" w:cs="宋体"/>
                <w:sz w:val="21"/>
                <w:szCs w:val="21"/>
              </w:rPr>
              <w:t>4</w:t>
            </w:r>
          </w:p>
        </w:tc>
        <w:tc>
          <w:tcPr>
            <w:tcW w:w="760" w:type="dxa"/>
            <w:tcMar>
              <w:top w:w="0" w:type="dxa"/>
              <w:left w:w="105" w:type="dxa"/>
              <w:bottom w:w="0" w:type="dxa"/>
              <w:right w:w="105" w:type="dxa"/>
            </w:tcMar>
            <w:vAlign w:val="top"/>
          </w:tcPr>
          <w:p w14:paraId="5D6C6DFE">
            <w:pPr>
              <w:pStyle w:val="172"/>
              <w:jc w:val="center"/>
              <w:rPr>
                <w:rFonts w:hint="eastAsia" w:ascii="宋体" w:hAnsi="宋体" w:eastAsia="宋体" w:cs="宋体"/>
                <w:sz w:val="21"/>
                <w:szCs w:val="21"/>
              </w:rPr>
            </w:pPr>
            <w:r>
              <w:rPr>
                <w:rFonts w:hint="eastAsia" w:ascii="宋体" w:hAnsi="宋体" w:eastAsia="宋体" w:cs="宋体"/>
                <w:b/>
                <w:sz w:val="21"/>
                <w:szCs w:val="21"/>
              </w:rPr>
              <w:t>茶饮料4</w:t>
            </w:r>
          </w:p>
        </w:tc>
        <w:tc>
          <w:tcPr>
            <w:tcW w:w="2759" w:type="dxa"/>
          </w:tcPr>
          <w:p w14:paraId="240F6232">
            <w:pPr>
              <w:pStyle w:val="172"/>
              <w:jc w:val="left"/>
              <w:rPr>
                <w:rFonts w:hint="eastAsia" w:ascii="宋体" w:hAnsi="宋体" w:eastAsia="宋体" w:cs="宋体"/>
                <w:sz w:val="21"/>
                <w:szCs w:val="21"/>
              </w:rPr>
            </w:pPr>
            <w:r>
              <w:rPr>
                <w:rFonts w:hint="eastAsia" w:ascii="宋体" w:hAnsi="宋体" w:eastAsia="宋体" w:cs="宋体"/>
                <w:sz w:val="21"/>
                <w:szCs w:val="21"/>
              </w:rPr>
              <w:t>1.每瓶净含量：440ml~510ml，有原味奶茶、青提、白桃等多种口味，开瓶即饮；</w:t>
            </w:r>
          </w:p>
          <w:p w14:paraId="5C7C564D">
            <w:pPr>
              <w:pStyle w:val="172"/>
              <w:jc w:val="left"/>
              <w:rPr>
                <w:rFonts w:hint="eastAsia" w:ascii="宋体" w:hAnsi="宋体" w:eastAsia="宋体" w:cs="宋体"/>
                <w:sz w:val="21"/>
                <w:szCs w:val="21"/>
              </w:rPr>
            </w:pPr>
            <w:r>
              <w:rPr>
                <w:rFonts w:hint="eastAsia" w:ascii="宋体" w:hAnsi="宋体" w:eastAsia="宋体" w:cs="宋体"/>
                <w:sz w:val="21"/>
                <w:szCs w:val="21"/>
              </w:rPr>
              <w:t>2.茶多酚、咖啡因等原料符合国家标准；</w:t>
            </w:r>
          </w:p>
          <w:p w14:paraId="768A6085">
            <w:pPr>
              <w:pStyle w:val="172"/>
              <w:jc w:val="left"/>
              <w:rPr>
                <w:rFonts w:hint="eastAsia" w:ascii="宋体" w:hAnsi="宋体" w:eastAsia="宋体" w:cs="宋体"/>
                <w:sz w:val="21"/>
                <w:szCs w:val="21"/>
              </w:rPr>
            </w:pPr>
            <w:r>
              <w:rPr>
                <w:rFonts w:hint="eastAsia" w:ascii="宋体" w:hAnsi="宋体" w:eastAsia="宋体" w:cs="宋体"/>
                <w:sz w:val="21"/>
                <w:szCs w:val="21"/>
              </w:rPr>
              <w:t>3.满足GB/T 21733-2008《茶饮料》标准规定；</w:t>
            </w:r>
          </w:p>
        </w:tc>
        <w:tc>
          <w:tcPr>
            <w:tcW w:w="1033" w:type="dxa"/>
            <w:tcMar>
              <w:top w:w="0" w:type="dxa"/>
              <w:left w:w="105" w:type="dxa"/>
              <w:bottom w:w="0" w:type="dxa"/>
              <w:right w:w="105" w:type="dxa"/>
            </w:tcMar>
            <w:vAlign w:val="top"/>
          </w:tcPr>
          <w:p w14:paraId="4EEAFC56">
            <w:pPr>
              <w:pStyle w:val="172"/>
              <w:jc w:val="center"/>
              <w:rPr>
                <w:rFonts w:hint="eastAsia" w:ascii="宋体" w:hAnsi="宋体" w:eastAsia="宋体" w:cs="宋体"/>
                <w:sz w:val="21"/>
                <w:szCs w:val="21"/>
              </w:rPr>
            </w:pPr>
            <w:r>
              <w:rPr>
                <w:rFonts w:hint="eastAsia" w:ascii="宋体" w:hAnsi="宋体" w:eastAsia="宋体" w:cs="宋体"/>
                <w:sz w:val="21"/>
                <w:szCs w:val="21"/>
              </w:rPr>
              <w:t>3.40</w:t>
            </w:r>
          </w:p>
        </w:tc>
        <w:tc>
          <w:tcPr>
            <w:tcW w:w="1373" w:type="dxa"/>
            <w:tcMar>
              <w:top w:w="0" w:type="dxa"/>
              <w:left w:w="105" w:type="dxa"/>
              <w:bottom w:w="0" w:type="dxa"/>
              <w:right w:w="105" w:type="dxa"/>
            </w:tcMar>
            <w:vAlign w:val="top"/>
          </w:tcPr>
          <w:p w14:paraId="28C400CA">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183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434" w:type="dxa"/>
            <w:tcMar>
              <w:top w:w="0" w:type="dxa"/>
              <w:left w:w="105" w:type="dxa"/>
              <w:bottom w:w="0" w:type="dxa"/>
              <w:right w:w="105" w:type="dxa"/>
            </w:tcMar>
            <w:vAlign w:val="top"/>
          </w:tcPr>
          <w:p w14:paraId="7BAB8089">
            <w:pPr>
              <w:pStyle w:val="172"/>
              <w:jc w:val="center"/>
              <w:rPr>
                <w:rFonts w:hint="eastAsia" w:ascii="宋体" w:hAnsi="宋体" w:eastAsia="宋体" w:cs="宋体"/>
                <w:sz w:val="21"/>
                <w:szCs w:val="21"/>
              </w:rPr>
            </w:pPr>
            <w:r>
              <w:rPr>
                <w:rFonts w:hint="eastAsia" w:ascii="宋体" w:hAnsi="宋体" w:eastAsia="宋体" w:cs="宋体"/>
                <w:sz w:val="21"/>
                <w:szCs w:val="21"/>
              </w:rPr>
              <w:t>5</w:t>
            </w:r>
          </w:p>
        </w:tc>
        <w:tc>
          <w:tcPr>
            <w:tcW w:w="760" w:type="dxa"/>
            <w:tcMar>
              <w:top w:w="0" w:type="dxa"/>
              <w:left w:w="105" w:type="dxa"/>
              <w:bottom w:w="0" w:type="dxa"/>
              <w:right w:w="105" w:type="dxa"/>
            </w:tcMar>
            <w:vAlign w:val="top"/>
          </w:tcPr>
          <w:p w14:paraId="2EE6F671">
            <w:pPr>
              <w:pStyle w:val="172"/>
              <w:jc w:val="center"/>
              <w:rPr>
                <w:rFonts w:hint="eastAsia" w:ascii="宋体" w:hAnsi="宋体" w:eastAsia="宋体" w:cs="宋体"/>
                <w:sz w:val="21"/>
                <w:szCs w:val="21"/>
              </w:rPr>
            </w:pPr>
            <w:r>
              <w:rPr>
                <w:rFonts w:hint="eastAsia" w:ascii="宋体" w:hAnsi="宋体" w:eastAsia="宋体" w:cs="宋体"/>
                <w:b/>
                <w:sz w:val="21"/>
                <w:szCs w:val="21"/>
              </w:rPr>
              <w:t>果蔬汁类及其饮料1</w:t>
            </w:r>
          </w:p>
        </w:tc>
        <w:tc>
          <w:tcPr>
            <w:tcW w:w="2759" w:type="dxa"/>
          </w:tcPr>
          <w:p w14:paraId="45402599">
            <w:pPr>
              <w:pStyle w:val="172"/>
              <w:jc w:val="left"/>
              <w:rPr>
                <w:rFonts w:hint="eastAsia" w:ascii="宋体" w:hAnsi="宋体" w:eastAsia="宋体" w:cs="宋体"/>
                <w:sz w:val="21"/>
                <w:szCs w:val="21"/>
              </w:rPr>
            </w:pPr>
            <w:r>
              <w:rPr>
                <w:rFonts w:hint="eastAsia" w:ascii="宋体" w:hAnsi="宋体" w:eastAsia="宋体" w:cs="宋体"/>
                <w:sz w:val="21"/>
                <w:szCs w:val="21"/>
              </w:rPr>
              <w:t>1.每瓶净含量：440ml~450ml，橙汁口味，开瓶即饮；</w:t>
            </w:r>
          </w:p>
          <w:p w14:paraId="4CBA8D2B">
            <w:pPr>
              <w:pStyle w:val="172"/>
              <w:jc w:val="left"/>
              <w:rPr>
                <w:rFonts w:hint="eastAsia" w:ascii="宋体" w:hAnsi="宋体" w:eastAsia="宋体" w:cs="宋体"/>
                <w:sz w:val="21"/>
                <w:szCs w:val="21"/>
              </w:rPr>
            </w:pPr>
            <w:r>
              <w:rPr>
                <w:rFonts w:hint="eastAsia" w:ascii="宋体" w:hAnsi="宋体" w:eastAsia="宋体" w:cs="宋体"/>
                <w:sz w:val="21"/>
                <w:szCs w:val="21"/>
              </w:rPr>
              <w:t>2.具有所标示的该种（或几种）水果、蔬菜制成的汁液相符的色泽；香气及滋味，无异味，无可见外来杂质，无褐变，无果肉或囊胞沉淀；</w:t>
            </w:r>
          </w:p>
          <w:p w14:paraId="789C4877">
            <w:pPr>
              <w:pStyle w:val="172"/>
              <w:jc w:val="left"/>
              <w:rPr>
                <w:rFonts w:hint="eastAsia" w:ascii="宋体" w:hAnsi="宋体" w:eastAsia="宋体" w:cs="宋体"/>
                <w:sz w:val="21"/>
                <w:szCs w:val="21"/>
              </w:rPr>
            </w:pPr>
            <w:r>
              <w:rPr>
                <w:rFonts w:hint="eastAsia" w:ascii="宋体" w:hAnsi="宋体" w:eastAsia="宋体" w:cs="宋体"/>
                <w:sz w:val="21"/>
                <w:szCs w:val="21"/>
              </w:rPr>
              <w:t>3.满足</w:t>
            </w:r>
            <w:r>
              <w:rPr>
                <w:rFonts w:hint="eastAsia" w:ascii="宋体" w:hAnsi="宋体" w:eastAsia="宋体" w:cs="宋体"/>
                <w:color w:val="000000"/>
                <w:sz w:val="21"/>
                <w:szCs w:val="21"/>
              </w:rPr>
              <w:t>GB/T 21731-2008《橙汁及橙汁饮料》</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63C326F3">
            <w:pPr>
              <w:pStyle w:val="172"/>
              <w:jc w:val="center"/>
              <w:rPr>
                <w:rFonts w:hint="eastAsia" w:ascii="宋体" w:hAnsi="宋体" w:eastAsia="宋体" w:cs="宋体"/>
                <w:sz w:val="21"/>
                <w:szCs w:val="21"/>
              </w:rPr>
            </w:pPr>
            <w:r>
              <w:rPr>
                <w:rFonts w:hint="eastAsia" w:ascii="宋体" w:hAnsi="宋体" w:eastAsia="宋体" w:cs="宋体"/>
                <w:sz w:val="21"/>
                <w:szCs w:val="21"/>
              </w:rPr>
              <w:t>2.80</w:t>
            </w:r>
          </w:p>
        </w:tc>
        <w:tc>
          <w:tcPr>
            <w:tcW w:w="1373" w:type="dxa"/>
            <w:tcMar>
              <w:top w:w="0" w:type="dxa"/>
              <w:left w:w="105" w:type="dxa"/>
              <w:bottom w:w="0" w:type="dxa"/>
              <w:right w:w="105" w:type="dxa"/>
            </w:tcMar>
            <w:vAlign w:val="top"/>
          </w:tcPr>
          <w:p w14:paraId="76EBD543">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5B8B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434" w:type="dxa"/>
            <w:tcMar>
              <w:top w:w="0" w:type="dxa"/>
              <w:left w:w="105" w:type="dxa"/>
              <w:bottom w:w="0" w:type="dxa"/>
              <w:right w:w="105" w:type="dxa"/>
            </w:tcMar>
            <w:vAlign w:val="top"/>
          </w:tcPr>
          <w:p w14:paraId="64F7140B">
            <w:pPr>
              <w:pStyle w:val="172"/>
              <w:jc w:val="center"/>
              <w:rPr>
                <w:rFonts w:hint="eastAsia" w:ascii="宋体" w:hAnsi="宋体" w:eastAsia="宋体" w:cs="宋体"/>
                <w:sz w:val="21"/>
                <w:szCs w:val="21"/>
              </w:rPr>
            </w:pPr>
            <w:r>
              <w:rPr>
                <w:rFonts w:hint="eastAsia" w:ascii="宋体" w:hAnsi="宋体" w:eastAsia="宋体" w:cs="宋体"/>
                <w:sz w:val="21"/>
                <w:szCs w:val="21"/>
              </w:rPr>
              <w:t>6</w:t>
            </w:r>
          </w:p>
        </w:tc>
        <w:tc>
          <w:tcPr>
            <w:tcW w:w="760" w:type="dxa"/>
            <w:tcMar>
              <w:top w:w="0" w:type="dxa"/>
              <w:left w:w="105" w:type="dxa"/>
              <w:bottom w:w="0" w:type="dxa"/>
              <w:right w:w="105" w:type="dxa"/>
            </w:tcMar>
            <w:vAlign w:val="top"/>
          </w:tcPr>
          <w:p w14:paraId="4FC1AA45">
            <w:pPr>
              <w:pStyle w:val="172"/>
              <w:jc w:val="center"/>
              <w:rPr>
                <w:rFonts w:hint="eastAsia" w:ascii="宋体" w:hAnsi="宋体" w:eastAsia="宋体" w:cs="宋体"/>
                <w:sz w:val="21"/>
                <w:szCs w:val="21"/>
              </w:rPr>
            </w:pPr>
            <w:r>
              <w:rPr>
                <w:rFonts w:hint="eastAsia" w:ascii="宋体" w:hAnsi="宋体" w:eastAsia="宋体" w:cs="宋体"/>
                <w:b/>
                <w:sz w:val="21"/>
                <w:szCs w:val="21"/>
              </w:rPr>
              <w:t>果蔬汁类及其饮料2</w:t>
            </w:r>
          </w:p>
          <w:p w14:paraId="16FC1D4C">
            <w:pPr>
              <w:pStyle w:val="172"/>
              <w:jc w:val="left"/>
              <w:rPr>
                <w:rFonts w:hint="eastAsia" w:ascii="宋体" w:hAnsi="宋体" w:eastAsia="宋体" w:cs="宋体"/>
                <w:sz w:val="21"/>
                <w:szCs w:val="21"/>
              </w:rPr>
            </w:pPr>
          </w:p>
        </w:tc>
        <w:tc>
          <w:tcPr>
            <w:tcW w:w="2759" w:type="dxa"/>
          </w:tcPr>
          <w:p w14:paraId="1BDD6C5C">
            <w:pPr>
              <w:pStyle w:val="172"/>
              <w:jc w:val="left"/>
              <w:rPr>
                <w:rFonts w:hint="eastAsia" w:ascii="宋体" w:hAnsi="宋体" w:eastAsia="宋体" w:cs="宋体"/>
                <w:sz w:val="21"/>
                <w:szCs w:val="21"/>
              </w:rPr>
            </w:pPr>
            <w:r>
              <w:rPr>
                <w:rFonts w:hint="eastAsia" w:ascii="宋体" w:hAnsi="宋体" w:eastAsia="宋体" w:cs="宋体"/>
                <w:sz w:val="21"/>
                <w:szCs w:val="21"/>
              </w:rPr>
              <w:t>1.每瓶/罐净含量：300ml-330ml，橙汁口味，开瓶即饮；</w:t>
            </w:r>
          </w:p>
          <w:p w14:paraId="683BAB7C">
            <w:pPr>
              <w:pStyle w:val="172"/>
              <w:jc w:val="left"/>
              <w:rPr>
                <w:rFonts w:hint="eastAsia" w:ascii="宋体" w:hAnsi="宋体" w:eastAsia="宋体" w:cs="宋体"/>
                <w:sz w:val="21"/>
                <w:szCs w:val="21"/>
              </w:rPr>
            </w:pPr>
            <w:r>
              <w:rPr>
                <w:rFonts w:hint="eastAsia" w:ascii="宋体" w:hAnsi="宋体" w:eastAsia="宋体" w:cs="宋体"/>
                <w:sz w:val="21"/>
                <w:szCs w:val="21"/>
              </w:rPr>
              <w:t>2.具有所标示的该种（或几种）水果、蔬菜制成的汁液相符的色泽；香气及滋味，无异味，无可见外来杂质，无褐变，无果肉或囊胞沉淀；</w:t>
            </w:r>
          </w:p>
          <w:p w14:paraId="1A59594F">
            <w:pPr>
              <w:pStyle w:val="172"/>
              <w:jc w:val="left"/>
              <w:rPr>
                <w:rFonts w:hint="eastAsia" w:ascii="宋体" w:hAnsi="宋体" w:eastAsia="宋体" w:cs="宋体"/>
                <w:sz w:val="21"/>
                <w:szCs w:val="21"/>
              </w:rPr>
            </w:pPr>
            <w:r>
              <w:rPr>
                <w:rFonts w:hint="eastAsia" w:ascii="宋体" w:hAnsi="宋体" w:eastAsia="宋体" w:cs="宋体"/>
                <w:sz w:val="21"/>
                <w:szCs w:val="21"/>
              </w:rPr>
              <w:t>3.满足</w:t>
            </w:r>
            <w:r>
              <w:rPr>
                <w:rFonts w:hint="eastAsia" w:ascii="宋体" w:hAnsi="宋体" w:eastAsia="宋体" w:cs="宋体"/>
                <w:color w:val="000000"/>
                <w:sz w:val="21"/>
                <w:szCs w:val="21"/>
              </w:rPr>
              <w:t>GB/T 21731-2008《橙汁及橙汁饮料》</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2A2603FD">
            <w:pPr>
              <w:pStyle w:val="172"/>
              <w:jc w:val="center"/>
              <w:rPr>
                <w:rFonts w:hint="eastAsia" w:ascii="宋体" w:hAnsi="宋体" w:eastAsia="宋体" w:cs="宋体"/>
                <w:sz w:val="21"/>
                <w:szCs w:val="21"/>
              </w:rPr>
            </w:pPr>
            <w:r>
              <w:rPr>
                <w:rFonts w:hint="eastAsia" w:ascii="宋体" w:hAnsi="宋体" w:eastAsia="宋体" w:cs="宋体"/>
                <w:sz w:val="21"/>
                <w:szCs w:val="21"/>
              </w:rPr>
              <w:t>2.16</w:t>
            </w:r>
          </w:p>
        </w:tc>
        <w:tc>
          <w:tcPr>
            <w:tcW w:w="1373" w:type="dxa"/>
            <w:tcMar>
              <w:top w:w="0" w:type="dxa"/>
              <w:left w:w="105" w:type="dxa"/>
              <w:bottom w:w="0" w:type="dxa"/>
              <w:right w:w="105" w:type="dxa"/>
            </w:tcMar>
            <w:vAlign w:val="top"/>
          </w:tcPr>
          <w:p w14:paraId="56B40AE4">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0011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1434" w:type="dxa"/>
            <w:tcMar>
              <w:top w:w="0" w:type="dxa"/>
              <w:left w:w="105" w:type="dxa"/>
              <w:bottom w:w="0" w:type="dxa"/>
              <w:right w:w="105" w:type="dxa"/>
            </w:tcMar>
            <w:vAlign w:val="top"/>
          </w:tcPr>
          <w:p w14:paraId="589120C3">
            <w:pPr>
              <w:pStyle w:val="172"/>
              <w:jc w:val="center"/>
              <w:rPr>
                <w:rFonts w:hint="eastAsia" w:ascii="宋体" w:hAnsi="宋体" w:eastAsia="宋体" w:cs="宋体"/>
                <w:sz w:val="21"/>
                <w:szCs w:val="21"/>
              </w:rPr>
            </w:pPr>
            <w:r>
              <w:rPr>
                <w:rFonts w:hint="eastAsia" w:ascii="宋体" w:hAnsi="宋体" w:eastAsia="宋体" w:cs="宋体"/>
                <w:sz w:val="21"/>
                <w:szCs w:val="21"/>
              </w:rPr>
              <w:t>7</w:t>
            </w:r>
          </w:p>
        </w:tc>
        <w:tc>
          <w:tcPr>
            <w:tcW w:w="760" w:type="dxa"/>
            <w:tcMar>
              <w:top w:w="0" w:type="dxa"/>
              <w:left w:w="105" w:type="dxa"/>
              <w:bottom w:w="0" w:type="dxa"/>
              <w:right w:w="105" w:type="dxa"/>
            </w:tcMar>
            <w:vAlign w:val="top"/>
          </w:tcPr>
          <w:p w14:paraId="0E9FC33D">
            <w:pPr>
              <w:pStyle w:val="172"/>
              <w:jc w:val="center"/>
              <w:rPr>
                <w:rFonts w:hint="eastAsia" w:ascii="宋体" w:hAnsi="宋体" w:eastAsia="宋体" w:cs="宋体"/>
                <w:sz w:val="21"/>
                <w:szCs w:val="21"/>
              </w:rPr>
            </w:pPr>
            <w:r>
              <w:rPr>
                <w:rFonts w:hint="eastAsia" w:ascii="宋体" w:hAnsi="宋体" w:eastAsia="宋体" w:cs="宋体"/>
                <w:b/>
                <w:sz w:val="21"/>
                <w:szCs w:val="21"/>
              </w:rPr>
              <w:t>果蔬汁类及其饮料3</w:t>
            </w:r>
          </w:p>
        </w:tc>
        <w:tc>
          <w:tcPr>
            <w:tcW w:w="2759" w:type="dxa"/>
          </w:tcPr>
          <w:p w14:paraId="420C3B81">
            <w:pPr>
              <w:pStyle w:val="172"/>
              <w:jc w:val="left"/>
              <w:rPr>
                <w:rFonts w:hint="eastAsia" w:ascii="宋体" w:hAnsi="宋体" w:eastAsia="宋体" w:cs="宋体"/>
                <w:sz w:val="21"/>
                <w:szCs w:val="21"/>
              </w:rPr>
            </w:pPr>
            <w:r>
              <w:rPr>
                <w:rFonts w:hint="eastAsia" w:ascii="宋体" w:hAnsi="宋体" w:eastAsia="宋体" w:cs="宋体"/>
                <w:sz w:val="21"/>
                <w:szCs w:val="21"/>
              </w:rPr>
              <w:t>1.每瓶/罐净含量：490ml-500ml，雪梨口味，开瓶即饮；</w:t>
            </w:r>
          </w:p>
          <w:p w14:paraId="59B2D4AB">
            <w:pPr>
              <w:pStyle w:val="172"/>
              <w:jc w:val="left"/>
              <w:rPr>
                <w:rFonts w:hint="eastAsia" w:ascii="宋体" w:hAnsi="宋体" w:eastAsia="宋体" w:cs="宋体"/>
                <w:sz w:val="21"/>
                <w:szCs w:val="21"/>
              </w:rPr>
            </w:pPr>
            <w:r>
              <w:rPr>
                <w:rFonts w:hint="eastAsia" w:ascii="宋体" w:hAnsi="宋体" w:eastAsia="宋体" w:cs="宋体"/>
                <w:sz w:val="21"/>
                <w:szCs w:val="21"/>
              </w:rPr>
              <w:t>2.具有所标示的该种（或几种）水果、蔬菜制成的汁液相符的色泽，或具有与添加成分相符的色泽；应有的滋味和气味，或具有与添加成分相符的滋味和气味；无异味；</w:t>
            </w:r>
          </w:p>
          <w:p w14:paraId="4C9AC022">
            <w:pPr>
              <w:pStyle w:val="172"/>
              <w:jc w:val="left"/>
              <w:rPr>
                <w:rFonts w:hint="eastAsia" w:ascii="宋体" w:hAnsi="宋体" w:eastAsia="宋体" w:cs="宋体"/>
                <w:sz w:val="21"/>
                <w:szCs w:val="21"/>
              </w:rPr>
            </w:pPr>
            <w:r>
              <w:rPr>
                <w:rFonts w:hint="eastAsia" w:ascii="宋体" w:hAnsi="宋体" w:eastAsia="宋体" w:cs="宋体"/>
                <w:sz w:val="21"/>
                <w:szCs w:val="21"/>
              </w:rPr>
              <w:t>3.满足</w:t>
            </w:r>
            <w:r>
              <w:rPr>
                <w:rFonts w:hint="eastAsia" w:ascii="宋体" w:hAnsi="宋体" w:eastAsia="宋体" w:cs="宋体"/>
                <w:color w:val="000000"/>
                <w:sz w:val="21"/>
                <w:szCs w:val="21"/>
              </w:rPr>
              <w:t>GB/T 31121-2014《果蔬汁类及其饮料》标准。</w:t>
            </w:r>
          </w:p>
        </w:tc>
        <w:tc>
          <w:tcPr>
            <w:tcW w:w="1033" w:type="dxa"/>
            <w:tcMar>
              <w:top w:w="0" w:type="dxa"/>
              <w:left w:w="105" w:type="dxa"/>
              <w:bottom w:w="0" w:type="dxa"/>
              <w:right w:w="105" w:type="dxa"/>
            </w:tcMar>
            <w:vAlign w:val="top"/>
          </w:tcPr>
          <w:p w14:paraId="71B49649">
            <w:pPr>
              <w:pStyle w:val="172"/>
              <w:jc w:val="center"/>
              <w:rPr>
                <w:rFonts w:hint="eastAsia" w:ascii="宋体" w:hAnsi="宋体" w:eastAsia="宋体" w:cs="宋体"/>
                <w:sz w:val="21"/>
                <w:szCs w:val="21"/>
              </w:rPr>
            </w:pPr>
            <w:r>
              <w:rPr>
                <w:rFonts w:hint="eastAsia" w:ascii="宋体" w:hAnsi="宋体" w:eastAsia="宋体" w:cs="宋体"/>
                <w:sz w:val="21"/>
                <w:szCs w:val="21"/>
              </w:rPr>
              <w:t>2.40</w:t>
            </w:r>
          </w:p>
        </w:tc>
        <w:tc>
          <w:tcPr>
            <w:tcW w:w="1373" w:type="dxa"/>
            <w:tcMar>
              <w:top w:w="0" w:type="dxa"/>
              <w:left w:w="105" w:type="dxa"/>
              <w:bottom w:w="0" w:type="dxa"/>
              <w:right w:w="105" w:type="dxa"/>
            </w:tcMar>
            <w:vAlign w:val="top"/>
          </w:tcPr>
          <w:p w14:paraId="49DD4148">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586A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34" w:type="dxa"/>
            <w:tcMar>
              <w:top w:w="0" w:type="dxa"/>
              <w:left w:w="105" w:type="dxa"/>
              <w:bottom w:w="0" w:type="dxa"/>
              <w:right w:w="105" w:type="dxa"/>
            </w:tcMar>
            <w:vAlign w:val="top"/>
          </w:tcPr>
          <w:p w14:paraId="177E6A30">
            <w:pPr>
              <w:pStyle w:val="172"/>
              <w:jc w:val="center"/>
              <w:rPr>
                <w:rFonts w:hint="eastAsia" w:ascii="宋体" w:hAnsi="宋体" w:eastAsia="宋体" w:cs="宋体"/>
                <w:sz w:val="21"/>
                <w:szCs w:val="21"/>
              </w:rPr>
            </w:pPr>
            <w:r>
              <w:rPr>
                <w:rFonts w:hint="eastAsia" w:ascii="宋体" w:hAnsi="宋体" w:eastAsia="宋体" w:cs="宋体"/>
                <w:sz w:val="21"/>
                <w:szCs w:val="21"/>
              </w:rPr>
              <w:t>8</w:t>
            </w:r>
          </w:p>
        </w:tc>
        <w:tc>
          <w:tcPr>
            <w:tcW w:w="760" w:type="dxa"/>
            <w:tcMar>
              <w:top w:w="0" w:type="dxa"/>
              <w:left w:w="105" w:type="dxa"/>
              <w:bottom w:w="0" w:type="dxa"/>
              <w:right w:w="105" w:type="dxa"/>
            </w:tcMar>
            <w:vAlign w:val="top"/>
          </w:tcPr>
          <w:p w14:paraId="10F6AA41">
            <w:pPr>
              <w:pStyle w:val="172"/>
              <w:jc w:val="center"/>
              <w:rPr>
                <w:rFonts w:hint="eastAsia" w:ascii="宋体" w:hAnsi="宋体" w:eastAsia="宋体" w:cs="宋体"/>
                <w:sz w:val="21"/>
                <w:szCs w:val="21"/>
              </w:rPr>
            </w:pPr>
            <w:r>
              <w:rPr>
                <w:rFonts w:hint="eastAsia" w:ascii="宋体" w:hAnsi="宋体" w:eastAsia="宋体" w:cs="宋体"/>
                <w:b/>
                <w:sz w:val="21"/>
                <w:szCs w:val="21"/>
              </w:rPr>
              <w:t>果蔬汁类及其饮料4</w:t>
            </w:r>
          </w:p>
        </w:tc>
        <w:tc>
          <w:tcPr>
            <w:tcW w:w="2759" w:type="dxa"/>
          </w:tcPr>
          <w:p w14:paraId="6B6F5958">
            <w:pPr>
              <w:pStyle w:val="172"/>
              <w:jc w:val="left"/>
              <w:rPr>
                <w:rFonts w:hint="eastAsia" w:ascii="宋体" w:hAnsi="宋体" w:eastAsia="宋体" w:cs="宋体"/>
                <w:sz w:val="21"/>
                <w:szCs w:val="21"/>
              </w:rPr>
            </w:pPr>
            <w:r>
              <w:rPr>
                <w:rFonts w:hint="eastAsia" w:ascii="宋体" w:hAnsi="宋体" w:eastAsia="宋体" w:cs="宋体"/>
                <w:sz w:val="21"/>
                <w:szCs w:val="21"/>
              </w:rPr>
              <w:t>1.每瓶净含量：410ml-430ml，有多种口味（两种及以上），开瓶即饮；</w:t>
            </w:r>
          </w:p>
          <w:p w14:paraId="7DF366FF">
            <w:pPr>
              <w:pStyle w:val="172"/>
              <w:jc w:val="left"/>
              <w:rPr>
                <w:rFonts w:hint="eastAsia" w:ascii="宋体" w:hAnsi="宋体" w:eastAsia="宋体" w:cs="宋体"/>
                <w:sz w:val="21"/>
                <w:szCs w:val="21"/>
              </w:rPr>
            </w:pPr>
            <w:r>
              <w:rPr>
                <w:rFonts w:hint="eastAsia" w:ascii="宋体" w:hAnsi="宋体" w:eastAsia="宋体" w:cs="宋体"/>
                <w:sz w:val="21"/>
                <w:szCs w:val="21"/>
              </w:rPr>
              <w:t>2.具有所标示的该种（或几种）水果制成的汁液相符的色泽，；具有该产品应有的色泽、气味和滋味，无异味，无正常视力可见的外来杂质；</w:t>
            </w:r>
          </w:p>
          <w:p w14:paraId="6257F46F">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3DE65029">
            <w:pPr>
              <w:pStyle w:val="172"/>
              <w:jc w:val="center"/>
              <w:rPr>
                <w:rFonts w:hint="eastAsia" w:ascii="宋体" w:hAnsi="宋体" w:eastAsia="宋体" w:cs="宋体"/>
                <w:sz w:val="21"/>
                <w:szCs w:val="21"/>
              </w:rPr>
            </w:pPr>
            <w:r>
              <w:rPr>
                <w:rFonts w:hint="eastAsia" w:ascii="宋体" w:hAnsi="宋体" w:eastAsia="宋体" w:cs="宋体"/>
                <w:sz w:val="21"/>
                <w:szCs w:val="21"/>
              </w:rPr>
              <w:t>3.40</w:t>
            </w:r>
          </w:p>
        </w:tc>
        <w:tc>
          <w:tcPr>
            <w:tcW w:w="1373" w:type="dxa"/>
            <w:tcMar>
              <w:top w:w="0" w:type="dxa"/>
              <w:left w:w="105" w:type="dxa"/>
              <w:bottom w:w="0" w:type="dxa"/>
              <w:right w:w="105" w:type="dxa"/>
            </w:tcMar>
            <w:vAlign w:val="top"/>
          </w:tcPr>
          <w:p w14:paraId="4710B60F">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523B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1434" w:type="dxa"/>
            <w:tcMar>
              <w:top w:w="0" w:type="dxa"/>
              <w:left w:w="105" w:type="dxa"/>
              <w:bottom w:w="0" w:type="dxa"/>
              <w:right w:w="105" w:type="dxa"/>
            </w:tcMar>
            <w:vAlign w:val="top"/>
          </w:tcPr>
          <w:p w14:paraId="07F4C1D3">
            <w:pPr>
              <w:pStyle w:val="172"/>
              <w:jc w:val="center"/>
              <w:rPr>
                <w:rFonts w:hint="eastAsia" w:ascii="宋体" w:hAnsi="宋体" w:eastAsia="宋体" w:cs="宋体"/>
                <w:sz w:val="21"/>
                <w:szCs w:val="21"/>
              </w:rPr>
            </w:pPr>
            <w:r>
              <w:rPr>
                <w:rFonts w:hint="eastAsia" w:ascii="宋体" w:hAnsi="宋体" w:eastAsia="宋体" w:cs="宋体"/>
                <w:sz w:val="21"/>
                <w:szCs w:val="21"/>
              </w:rPr>
              <w:t>9</w:t>
            </w:r>
          </w:p>
        </w:tc>
        <w:tc>
          <w:tcPr>
            <w:tcW w:w="760" w:type="dxa"/>
            <w:tcMar>
              <w:top w:w="0" w:type="dxa"/>
              <w:left w:w="105" w:type="dxa"/>
              <w:bottom w:w="0" w:type="dxa"/>
              <w:right w:w="105" w:type="dxa"/>
            </w:tcMar>
            <w:vAlign w:val="top"/>
          </w:tcPr>
          <w:p w14:paraId="192E146B">
            <w:pPr>
              <w:pStyle w:val="172"/>
              <w:jc w:val="center"/>
              <w:rPr>
                <w:rFonts w:hint="eastAsia" w:ascii="宋体" w:hAnsi="宋体" w:eastAsia="宋体" w:cs="宋体"/>
                <w:sz w:val="21"/>
                <w:szCs w:val="21"/>
              </w:rPr>
            </w:pPr>
            <w:r>
              <w:rPr>
                <w:rFonts w:hint="eastAsia" w:ascii="宋体" w:hAnsi="宋体" w:eastAsia="宋体" w:cs="宋体"/>
                <w:b/>
                <w:sz w:val="21"/>
                <w:szCs w:val="21"/>
              </w:rPr>
              <w:t>电解质饮料</w:t>
            </w:r>
          </w:p>
        </w:tc>
        <w:tc>
          <w:tcPr>
            <w:tcW w:w="2759" w:type="dxa"/>
          </w:tcPr>
          <w:p w14:paraId="12450CCC">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1.每瓶净含量：490ml~500ml，有多种口味（两种及以上），开瓶即饮；</w:t>
            </w:r>
          </w:p>
          <w:p w14:paraId="5B473F77">
            <w:pPr>
              <w:pStyle w:val="172"/>
              <w:jc w:val="left"/>
              <w:rPr>
                <w:rFonts w:hint="eastAsia" w:ascii="宋体" w:hAnsi="宋体" w:eastAsia="宋体" w:cs="宋体"/>
                <w:sz w:val="21"/>
                <w:szCs w:val="21"/>
              </w:rPr>
            </w:pPr>
            <w:r>
              <w:rPr>
                <w:rFonts w:hint="eastAsia" w:ascii="宋体" w:hAnsi="宋体" w:eastAsia="宋体" w:cs="宋体"/>
                <w:sz w:val="21"/>
                <w:szCs w:val="21"/>
              </w:rPr>
              <w:t>2.呈产品应有的颜色，色泽均匀一致； 具有与该产品添加成分相符的气味和滋味，味微甜，无异味；均匀液体;无肉眼可见的外来杂质；</w:t>
            </w:r>
          </w:p>
          <w:p w14:paraId="7C78373F">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6C077CE6">
            <w:pPr>
              <w:pStyle w:val="172"/>
              <w:jc w:val="center"/>
              <w:rPr>
                <w:rFonts w:hint="eastAsia" w:ascii="宋体" w:hAnsi="宋体" w:eastAsia="宋体" w:cs="宋体"/>
                <w:sz w:val="21"/>
                <w:szCs w:val="21"/>
              </w:rPr>
            </w:pPr>
            <w:r>
              <w:rPr>
                <w:rFonts w:hint="eastAsia" w:ascii="宋体" w:hAnsi="宋体" w:eastAsia="宋体" w:cs="宋体"/>
                <w:sz w:val="21"/>
                <w:szCs w:val="21"/>
              </w:rPr>
              <w:t>3.30</w:t>
            </w:r>
          </w:p>
        </w:tc>
        <w:tc>
          <w:tcPr>
            <w:tcW w:w="1373" w:type="dxa"/>
            <w:tcMar>
              <w:top w:w="0" w:type="dxa"/>
              <w:left w:w="105" w:type="dxa"/>
              <w:bottom w:w="0" w:type="dxa"/>
              <w:right w:w="105" w:type="dxa"/>
            </w:tcMar>
            <w:vAlign w:val="top"/>
          </w:tcPr>
          <w:p w14:paraId="1C0E39F4">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096E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434" w:type="dxa"/>
            <w:tcMar>
              <w:top w:w="0" w:type="dxa"/>
              <w:left w:w="105" w:type="dxa"/>
              <w:bottom w:w="0" w:type="dxa"/>
              <w:right w:w="105" w:type="dxa"/>
            </w:tcMar>
            <w:vAlign w:val="top"/>
          </w:tcPr>
          <w:p w14:paraId="27BC17E6">
            <w:pPr>
              <w:pStyle w:val="172"/>
              <w:jc w:val="center"/>
              <w:rPr>
                <w:rFonts w:hint="eastAsia" w:ascii="宋体" w:hAnsi="宋体" w:eastAsia="宋体" w:cs="宋体"/>
                <w:sz w:val="21"/>
                <w:szCs w:val="21"/>
              </w:rPr>
            </w:pPr>
            <w:r>
              <w:rPr>
                <w:rFonts w:hint="eastAsia" w:ascii="宋体" w:hAnsi="宋体" w:eastAsia="宋体" w:cs="宋体"/>
                <w:sz w:val="21"/>
                <w:szCs w:val="21"/>
              </w:rPr>
              <w:t>10</w:t>
            </w:r>
          </w:p>
        </w:tc>
        <w:tc>
          <w:tcPr>
            <w:tcW w:w="760" w:type="dxa"/>
            <w:tcMar>
              <w:top w:w="0" w:type="dxa"/>
              <w:left w:w="105" w:type="dxa"/>
              <w:bottom w:w="0" w:type="dxa"/>
              <w:right w:w="105" w:type="dxa"/>
            </w:tcMar>
            <w:vAlign w:val="top"/>
          </w:tcPr>
          <w:p w14:paraId="2222830E">
            <w:pPr>
              <w:pStyle w:val="172"/>
              <w:jc w:val="center"/>
              <w:rPr>
                <w:rFonts w:hint="eastAsia" w:ascii="宋体" w:hAnsi="宋体" w:eastAsia="宋体" w:cs="宋体"/>
                <w:sz w:val="21"/>
                <w:szCs w:val="21"/>
              </w:rPr>
            </w:pPr>
            <w:r>
              <w:rPr>
                <w:rFonts w:hint="eastAsia" w:ascii="宋体" w:hAnsi="宋体" w:eastAsia="宋体" w:cs="宋体"/>
                <w:b/>
                <w:sz w:val="21"/>
                <w:szCs w:val="21"/>
              </w:rPr>
              <w:t>营养素饮料</w:t>
            </w:r>
          </w:p>
        </w:tc>
        <w:tc>
          <w:tcPr>
            <w:tcW w:w="2759" w:type="dxa"/>
          </w:tcPr>
          <w:p w14:paraId="2FAEBFC9">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1.每瓶净含量：490ml~550ml，有桃子味、橙汁味多种口味，开瓶即饮；</w:t>
            </w:r>
          </w:p>
          <w:p w14:paraId="01C978E4">
            <w:pPr>
              <w:pStyle w:val="172"/>
              <w:jc w:val="left"/>
              <w:rPr>
                <w:rFonts w:hint="eastAsia" w:ascii="宋体" w:hAnsi="宋体" w:eastAsia="宋体" w:cs="宋体"/>
                <w:sz w:val="21"/>
                <w:szCs w:val="21"/>
              </w:rPr>
            </w:pPr>
            <w:r>
              <w:rPr>
                <w:rFonts w:hint="eastAsia" w:ascii="宋体" w:hAnsi="宋体" w:eastAsia="宋体" w:cs="宋体"/>
                <w:sz w:val="21"/>
                <w:szCs w:val="21"/>
              </w:rPr>
              <w:t>2.具有该产品应有的色泽，滋味、气味，无发现异味异嗅。无正常视力可见外来异物；</w:t>
            </w:r>
          </w:p>
          <w:p w14:paraId="24C8EAD4">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6E3866CC">
            <w:pPr>
              <w:pStyle w:val="172"/>
              <w:jc w:val="center"/>
              <w:rPr>
                <w:rFonts w:hint="eastAsia" w:ascii="宋体" w:hAnsi="宋体" w:eastAsia="宋体" w:cs="宋体"/>
                <w:sz w:val="21"/>
                <w:szCs w:val="21"/>
              </w:rPr>
            </w:pPr>
            <w:r>
              <w:rPr>
                <w:rFonts w:hint="eastAsia" w:ascii="宋体" w:hAnsi="宋体" w:eastAsia="宋体" w:cs="宋体"/>
                <w:sz w:val="21"/>
                <w:szCs w:val="21"/>
              </w:rPr>
              <w:t>4.50</w:t>
            </w:r>
          </w:p>
        </w:tc>
        <w:tc>
          <w:tcPr>
            <w:tcW w:w="1373" w:type="dxa"/>
            <w:tcMar>
              <w:top w:w="0" w:type="dxa"/>
              <w:left w:w="105" w:type="dxa"/>
              <w:bottom w:w="0" w:type="dxa"/>
              <w:right w:w="105" w:type="dxa"/>
            </w:tcMar>
            <w:vAlign w:val="top"/>
          </w:tcPr>
          <w:p w14:paraId="30E71453">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25E0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434" w:type="dxa"/>
            <w:tcMar>
              <w:top w:w="0" w:type="dxa"/>
              <w:left w:w="105" w:type="dxa"/>
              <w:bottom w:w="0" w:type="dxa"/>
              <w:right w:w="105" w:type="dxa"/>
            </w:tcMar>
            <w:vAlign w:val="top"/>
          </w:tcPr>
          <w:p w14:paraId="310FB7CD">
            <w:pPr>
              <w:pStyle w:val="172"/>
              <w:jc w:val="center"/>
              <w:rPr>
                <w:rFonts w:hint="eastAsia" w:ascii="宋体" w:hAnsi="宋体" w:eastAsia="宋体" w:cs="宋体"/>
                <w:sz w:val="21"/>
                <w:szCs w:val="21"/>
              </w:rPr>
            </w:pPr>
            <w:r>
              <w:rPr>
                <w:rFonts w:hint="eastAsia" w:ascii="宋体" w:hAnsi="宋体" w:eastAsia="宋体" w:cs="宋体"/>
                <w:sz w:val="21"/>
                <w:szCs w:val="21"/>
              </w:rPr>
              <w:t>11</w:t>
            </w:r>
          </w:p>
        </w:tc>
        <w:tc>
          <w:tcPr>
            <w:tcW w:w="760" w:type="dxa"/>
            <w:tcMar>
              <w:top w:w="0" w:type="dxa"/>
              <w:left w:w="105" w:type="dxa"/>
              <w:bottom w:w="0" w:type="dxa"/>
              <w:right w:w="105" w:type="dxa"/>
            </w:tcMar>
            <w:vAlign w:val="top"/>
          </w:tcPr>
          <w:p w14:paraId="397D67C9">
            <w:pPr>
              <w:pStyle w:val="172"/>
              <w:jc w:val="center"/>
              <w:rPr>
                <w:rFonts w:hint="eastAsia" w:ascii="宋体" w:hAnsi="宋体" w:eastAsia="宋体" w:cs="宋体"/>
                <w:sz w:val="21"/>
                <w:szCs w:val="21"/>
              </w:rPr>
            </w:pPr>
            <w:r>
              <w:rPr>
                <w:rFonts w:hint="eastAsia" w:ascii="宋体" w:hAnsi="宋体" w:eastAsia="宋体" w:cs="宋体"/>
                <w:b/>
                <w:sz w:val="21"/>
                <w:szCs w:val="21"/>
              </w:rPr>
              <w:t>苏打水</w:t>
            </w:r>
          </w:p>
          <w:p w14:paraId="130A7740">
            <w:pPr>
              <w:pStyle w:val="172"/>
              <w:jc w:val="center"/>
              <w:rPr>
                <w:rFonts w:hint="eastAsia" w:ascii="宋体" w:hAnsi="宋体" w:eastAsia="宋体" w:cs="宋体"/>
                <w:sz w:val="21"/>
                <w:szCs w:val="21"/>
              </w:rPr>
            </w:pPr>
            <w:r>
              <w:rPr>
                <w:rFonts w:hint="eastAsia" w:ascii="宋体" w:hAnsi="宋体" w:eastAsia="宋体" w:cs="宋体"/>
                <w:b/>
                <w:sz w:val="21"/>
                <w:szCs w:val="21"/>
              </w:rPr>
              <w:t>风味饮品1</w:t>
            </w:r>
          </w:p>
        </w:tc>
        <w:tc>
          <w:tcPr>
            <w:tcW w:w="2759" w:type="dxa"/>
          </w:tcPr>
          <w:p w14:paraId="53288EA8">
            <w:pPr>
              <w:pStyle w:val="172"/>
              <w:jc w:val="left"/>
              <w:rPr>
                <w:rFonts w:hint="eastAsia" w:ascii="宋体" w:hAnsi="宋体" w:eastAsia="宋体" w:cs="宋体"/>
                <w:sz w:val="21"/>
                <w:szCs w:val="21"/>
              </w:rPr>
            </w:pPr>
            <w:r>
              <w:rPr>
                <w:rFonts w:hint="eastAsia" w:ascii="宋体" w:hAnsi="宋体" w:eastAsia="宋体" w:cs="宋体"/>
                <w:sz w:val="21"/>
                <w:szCs w:val="21"/>
              </w:rPr>
              <w:t>1.每瓶净含量：350ml~370ml，有原味、青柠、白桃多种口味，开瓶即饮；</w:t>
            </w:r>
          </w:p>
          <w:p w14:paraId="1FAD361E">
            <w:pPr>
              <w:pStyle w:val="172"/>
              <w:jc w:val="left"/>
              <w:rPr>
                <w:rFonts w:hint="eastAsia" w:ascii="宋体" w:hAnsi="宋体" w:eastAsia="宋体" w:cs="宋体"/>
                <w:sz w:val="21"/>
                <w:szCs w:val="21"/>
              </w:rPr>
            </w:pPr>
            <w:r>
              <w:rPr>
                <w:rFonts w:hint="eastAsia" w:ascii="宋体" w:hAnsi="宋体" w:eastAsia="宋体" w:cs="宋体"/>
                <w:sz w:val="21"/>
                <w:szCs w:val="21"/>
              </w:rPr>
              <w:t>2.具有该产品固有的色泽，组织形态/性状；滋味和气味，无异味，无肉眼可见外来杂质；</w:t>
            </w:r>
          </w:p>
          <w:p w14:paraId="57C35F0B">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7101-2022《食品安全国家标准饮料》规定。</w:t>
            </w:r>
          </w:p>
        </w:tc>
        <w:tc>
          <w:tcPr>
            <w:tcW w:w="1033" w:type="dxa"/>
            <w:tcMar>
              <w:top w:w="0" w:type="dxa"/>
              <w:left w:w="105" w:type="dxa"/>
              <w:bottom w:w="0" w:type="dxa"/>
              <w:right w:w="105" w:type="dxa"/>
            </w:tcMar>
            <w:vAlign w:val="top"/>
          </w:tcPr>
          <w:p w14:paraId="0BF0977E">
            <w:pPr>
              <w:pStyle w:val="172"/>
              <w:jc w:val="center"/>
              <w:rPr>
                <w:rFonts w:hint="eastAsia" w:ascii="宋体" w:hAnsi="宋体" w:eastAsia="宋体" w:cs="宋体"/>
                <w:sz w:val="21"/>
                <w:szCs w:val="21"/>
              </w:rPr>
            </w:pPr>
            <w:r>
              <w:rPr>
                <w:rFonts w:hint="eastAsia" w:ascii="宋体" w:hAnsi="宋体" w:eastAsia="宋体" w:cs="宋体"/>
                <w:sz w:val="21"/>
                <w:szCs w:val="21"/>
              </w:rPr>
              <w:t>2.30</w:t>
            </w:r>
          </w:p>
        </w:tc>
        <w:tc>
          <w:tcPr>
            <w:tcW w:w="1373" w:type="dxa"/>
            <w:tcMar>
              <w:top w:w="0" w:type="dxa"/>
              <w:left w:w="105" w:type="dxa"/>
              <w:bottom w:w="0" w:type="dxa"/>
              <w:right w:w="105" w:type="dxa"/>
            </w:tcMar>
            <w:vAlign w:val="top"/>
          </w:tcPr>
          <w:p w14:paraId="626A4890">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6F6B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434" w:type="dxa"/>
            <w:tcMar>
              <w:top w:w="0" w:type="dxa"/>
              <w:left w:w="105" w:type="dxa"/>
              <w:bottom w:w="0" w:type="dxa"/>
              <w:right w:w="105" w:type="dxa"/>
            </w:tcMar>
            <w:vAlign w:val="top"/>
          </w:tcPr>
          <w:p w14:paraId="1813EDD5">
            <w:pPr>
              <w:pStyle w:val="172"/>
              <w:jc w:val="center"/>
              <w:rPr>
                <w:rFonts w:hint="eastAsia" w:ascii="宋体" w:hAnsi="宋体" w:eastAsia="宋体" w:cs="宋体"/>
                <w:sz w:val="21"/>
                <w:szCs w:val="21"/>
              </w:rPr>
            </w:pPr>
            <w:r>
              <w:rPr>
                <w:rFonts w:hint="eastAsia" w:ascii="宋体" w:hAnsi="宋体" w:eastAsia="宋体" w:cs="宋体"/>
                <w:sz w:val="21"/>
                <w:szCs w:val="21"/>
              </w:rPr>
              <w:t>12</w:t>
            </w:r>
          </w:p>
        </w:tc>
        <w:tc>
          <w:tcPr>
            <w:tcW w:w="760" w:type="dxa"/>
            <w:tcMar>
              <w:top w:w="0" w:type="dxa"/>
              <w:left w:w="105" w:type="dxa"/>
              <w:bottom w:w="0" w:type="dxa"/>
              <w:right w:w="105" w:type="dxa"/>
            </w:tcMar>
            <w:vAlign w:val="top"/>
          </w:tcPr>
          <w:p w14:paraId="6700A68B">
            <w:pPr>
              <w:pStyle w:val="172"/>
              <w:jc w:val="center"/>
              <w:rPr>
                <w:rFonts w:hint="eastAsia" w:ascii="宋体" w:hAnsi="宋体" w:eastAsia="宋体" w:cs="宋体"/>
                <w:sz w:val="21"/>
                <w:szCs w:val="21"/>
              </w:rPr>
            </w:pPr>
            <w:r>
              <w:rPr>
                <w:rFonts w:hint="eastAsia" w:ascii="宋体" w:hAnsi="宋体" w:eastAsia="宋体" w:cs="宋体"/>
                <w:b/>
                <w:sz w:val="21"/>
                <w:szCs w:val="21"/>
              </w:rPr>
              <w:t>苏打水</w:t>
            </w:r>
          </w:p>
          <w:p w14:paraId="12988C71">
            <w:pPr>
              <w:pStyle w:val="172"/>
              <w:jc w:val="center"/>
              <w:rPr>
                <w:rFonts w:hint="eastAsia" w:ascii="宋体" w:hAnsi="宋体" w:eastAsia="宋体" w:cs="宋体"/>
                <w:sz w:val="21"/>
                <w:szCs w:val="21"/>
              </w:rPr>
            </w:pPr>
            <w:r>
              <w:rPr>
                <w:rFonts w:hint="eastAsia" w:ascii="宋体" w:hAnsi="宋体" w:eastAsia="宋体" w:cs="宋体"/>
                <w:b/>
                <w:sz w:val="21"/>
                <w:szCs w:val="21"/>
              </w:rPr>
              <w:t>风味饮品2</w:t>
            </w:r>
          </w:p>
        </w:tc>
        <w:tc>
          <w:tcPr>
            <w:tcW w:w="2759" w:type="dxa"/>
          </w:tcPr>
          <w:p w14:paraId="10A2F5EF">
            <w:pPr>
              <w:pStyle w:val="172"/>
              <w:jc w:val="left"/>
              <w:rPr>
                <w:rFonts w:hint="eastAsia" w:ascii="宋体" w:hAnsi="宋体" w:eastAsia="宋体" w:cs="宋体"/>
                <w:sz w:val="21"/>
                <w:szCs w:val="21"/>
              </w:rPr>
            </w:pPr>
            <w:r>
              <w:rPr>
                <w:rFonts w:hint="eastAsia" w:ascii="宋体" w:hAnsi="宋体" w:eastAsia="宋体" w:cs="宋体"/>
                <w:sz w:val="21"/>
                <w:szCs w:val="21"/>
              </w:rPr>
              <w:t>1.每瓶净含量：440ml~460ml，有含锌、烟酸多种口味，开瓶即饮；</w:t>
            </w:r>
          </w:p>
          <w:p w14:paraId="6104C55F">
            <w:pPr>
              <w:pStyle w:val="172"/>
              <w:jc w:val="left"/>
              <w:rPr>
                <w:rFonts w:hint="eastAsia" w:ascii="宋体" w:hAnsi="宋体" w:eastAsia="宋体" w:cs="宋体"/>
                <w:sz w:val="21"/>
                <w:szCs w:val="21"/>
              </w:rPr>
            </w:pPr>
            <w:r>
              <w:rPr>
                <w:rFonts w:hint="eastAsia" w:ascii="宋体" w:hAnsi="宋体" w:eastAsia="宋体" w:cs="宋体"/>
                <w:sz w:val="21"/>
                <w:szCs w:val="21"/>
              </w:rPr>
              <w:t>2.具有该类产品特点的外观、滋味，不得有异味、臭味和外来杂质；该产品固有的滋味和气味，无异味，无肉眼可见外来杂质。</w:t>
            </w:r>
          </w:p>
          <w:p w14:paraId="2FC84154">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08DC9BB1">
            <w:pPr>
              <w:pStyle w:val="172"/>
              <w:jc w:val="center"/>
              <w:rPr>
                <w:rFonts w:hint="eastAsia" w:ascii="宋体" w:hAnsi="宋体" w:eastAsia="宋体" w:cs="宋体"/>
                <w:sz w:val="21"/>
                <w:szCs w:val="21"/>
              </w:rPr>
            </w:pPr>
            <w:r>
              <w:rPr>
                <w:rFonts w:hint="eastAsia" w:ascii="宋体" w:hAnsi="宋体" w:eastAsia="宋体" w:cs="宋体"/>
                <w:sz w:val="21"/>
                <w:szCs w:val="21"/>
              </w:rPr>
              <w:t>3.00</w:t>
            </w:r>
          </w:p>
        </w:tc>
        <w:tc>
          <w:tcPr>
            <w:tcW w:w="1373" w:type="dxa"/>
            <w:tcMar>
              <w:top w:w="0" w:type="dxa"/>
              <w:left w:w="105" w:type="dxa"/>
              <w:bottom w:w="0" w:type="dxa"/>
              <w:right w:w="105" w:type="dxa"/>
            </w:tcMar>
            <w:vAlign w:val="top"/>
          </w:tcPr>
          <w:p w14:paraId="7B0ED958">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6835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434" w:type="dxa"/>
            <w:tcMar>
              <w:top w:w="0" w:type="dxa"/>
              <w:left w:w="105" w:type="dxa"/>
              <w:bottom w:w="0" w:type="dxa"/>
              <w:right w:w="105" w:type="dxa"/>
            </w:tcMar>
            <w:vAlign w:val="top"/>
          </w:tcPr>
          <w:p w14:paraId="2E8D528A">
            <w:pPr>
              <w:pStyle w:val="172"/>
              <w:jc w:val="center"/>
              <w:rPr>
                <w:rFonts w:hint="eastAsia" w:ascii="宋体" w:hAnsi="宋体" w:eastAsia="宋体" w:cs="宋体"/>
                <w:sz w:val="21"/>
                <w:szCs w:val="21"/>
              </w:rPr>
            </w:pPr>
            <w:r>
              <w:rPr>
                <w:rFonts w:hint="eastAsia" w:ascii="宋体" w:hAnsi="宋体" w:eastAsia="宋体" w:cs="宋体"/>
                <w:sz w:val="21"/>
                <w:szCs w:val="21"/>
              </w:rPr>
              <w:t>13</w:t>
            </w:r>
          </w:p>
        </w:tc>
        <w:tc>
          <w:tcPr>
            <w:tcW w:w="760" w:type="dxa"/>
            <w:tcMar>
              <w:top w:w="0" w:type="dxa"/>
              <w:left w:w="105" w:type="dxa"/>
              <w:bottom w:w="0" w:type="dxa"/>
              <w:right w:w="105" w:type="dxa"/>
            </w:tcMar>
            <w:vAlign w:val="top"/>
          </w:tcPr>
          <w:p w14:paraId="7DB62DF2">
            <w:pPr>
              <w:pStyle w:val="172"/>
              <w:jc w:val="center"/>
              <w:rPr>
                <w:rFonts w:hint="eastAsia" w:ascii="宋体" w:hAnsi="宋体" w:eastAsia="宋体" w:cs="宋体"/>
                <w:sz w:val="21"/>
                <w:szCs w:val="21"/>
              </w:rPr>
            </w:pPr>
            <w:r>
              <w:rPr>
                <w:rFonts w:hint="eastAsia" w:ascii="宋体" w:hAnsi="宋体" w:eastAsia="宋体" w:cs="宋体"/>
                <w:b/>
                <w:sz w:val="21"/>
                <w:szCs w:val="21"/>
              </w:rPr>
              <w:t>水果牛奶饮料</w:t>
            </w:r>
          </w:p>
        </w:tc>
        <w:tc>
          <w:tcPr>
            <w:tcW w:w="2759" w:type="dxa"/>
          </w:tcPr>
          <w:p w14:paraId="7FEF23B3">
            <w:pPr>
              <w:pStyle w:val="172"/>
              <w:jc w:val="left"/>
              <w:rPr>
                <w:rFonts w:hint="eastAsia" w:ascii="宋体" w:hAnsi="宋体" w:eastAsia="宋体" w:cs="宋体"/>
                <w:sz w:val="21"/>
                <w:szCs w:val="21"/>
              </w:rPr>
            </w:pPr>
            <w:r>
              <w:rPr>
                <w:rFonts w:hint="eastAsia" w:ascii="宋体" w:hAnsi="宋体" w:eastAsia="宋体" w:cs="宋体"/>
                <w:sz w:val="21"/>
                <w:szCs w:val="21"/>
              </w:rPr>
              <w:t>1.每瓶净含量：440ml~460ml，有多种口味（两种及以上），开瓶即饮；</w:t>
            </w:r>
          </w:p>
          <w:p w14:paraId="16907B7B">
            <w:pPr>
              <w:pStyle w:val="172"/>
              <w:jc w:val="left"/>
              <w:rPr>
                <w:rFonts w:hint="eastAsia" w:ascii="宋体" w:hAnsi="宋体" w:eastAsia="宋体" w:cs="宋体"/>
                <w:sz w:val="21"/>
                <w:szCs w:val="21"/>
              </w:rPr>
            </w:pPr>
            <w:r>
              <w:rPr>
                <w:rFonts w:hint="eastAsia" w:ascii="宋体" w:hAnsi="宋体" w:eastAsia="宋体" w:cs="宋体"/>
                <w:sz w:val="21"/>
                <w:szCs w:val="21"/>
              </w:rPr>
              <w:t>2.均匀乳白色、乳黄色或带有添加辅料的相应色泽杂质，均匀细腻的乳浊液，无分层现象，允许有少量沉淀，无外来杂质；特有的乳香滋味和气味或具有加入辅料相符的滋味和气味，发酵产品具有特有的发酵芳香滋味和气味；无异味；</w:t>
            </w:r>
          </w:p>
          <w:p w14:paraId="52A632EF">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58BBF45C">
            <w:pPr>
              <w:pStyle w:val="172"/>
              <w:jc w:val="center"/>
              <w:rPr>
                <w:rFonts w:hint="eastAsia" w:ascii="宋体" w:hAnsi="宋体" w:eastAsia="宋体" w:cs="宋体"/>
                <w:sz w:val="21"/>
                <w:szCs w:val="21"/>
              </w:rPr>
            </w:pPr>
            <w:r>
              <w:rPr>
                <w:rFonts w:hint="eastAsia" w:ascii="宋体" w:hAnsi="宋体" w:eastAsia="宋体" w:cs="宋体"/>
                <w:sz w:val="21"/>
                <w:szCs w:val="21"/>
              </w:rPr>
              <w:t>3.60</w:t>
            </w:r>
          </w:p>
        </w:tc>
        <w:tc>
          <w:tcPr>
            <w:tcW w:w="1373" w:type="dxa"/>
            <w:tcMar>
              <w:top w:w="0" w:type="dxa"/>
              <w:left w:w="105" w:type="dxa"/>
              <w:bottom w:w="0" w:type="dxa"/>
              <w:right w:w="105" w:type="dxa"/>
            </w:tcMar>
            <w:vAlign w:val="top"/>
          </w:tcPr>
          <w:p w14:paraId="7FE737CA">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4853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434" w:type="dxa"/>
            <w:tcMar>
              <w:top w:w="0" w:type="dxa"/>
              <w:left w:w="105" w:type="dxa"/>
              <w:bottom w:w="0" w:type="dxa"/>
              <w:right w:w="105" w:type="dxa"/>
            </w:tcMar>
            <w:vAlign w:val="top"/>
          </w:tcPr>
          <w:p w14:paraId="2F845B92">
            <w:pPr>
              <w:pStyle w:val="172"/>
              <w:jc w:val="center"/>
              <w:rPr>
                <w:rFonts w:hint="eastAsia" w:ascii="宋体" w:hAnsi="宋体" w:eastAsia="宋体" w:cs="宋体"/>
                <w:sz w:val="21"/>
                <w:szCs w:val="21"/>
              </w:rPr>
            </w:pPr>
            <w:r>
              <w:rPr>
                <w:rFonts w:hint="eastAsia" w:ascii="宋体" w:hAnsi="宋体" w:eastAsia="宋体" w:cs="宋体"/>
                <w:sz w:val="21"/>
                <w:szCs w:val="21"/>
              </w:rPr>
              <w:t>14</w:t>
            </w:r>
          </w:p>
        </w:tc>
        <w:tc>
          <w:tcPr>
            <w:tcW w:w="760" w:type="dxa"/>
            <w:tcMar>
              <w:top w:w="0" w:type="dxa"/>
              <w:left w:w="105" w:type="dxa"/>
              <w:bottom w:w="0" w:type="dxa"/>
              <w:right w:w="105" w:type="dxa"/>
            </w:tcMar>
            <w:vAlign w:val="top"/>
          </w:tcPr>
          <w:p w14:paraId="7346499C">
            <w:pPr>
              <w:pStyle w:val="172"/>
              <w:jc w:val="center"/>
              <w:rPr>
                <w:rFonts w:hint="eastAsia" w:ascii="宋体" w:hAnsi="宋体" w:eastAsia="宋体" w:cs="宋体"/>
                <w:sz w:val="21"/>
                <w:szCs w:val="21"/>
              </w:rPr>
            </w:pPr>
            <w:r>
              <w:rPr>
                <w:rFonts w:hint="eastAsia" w:ascii="宋体" w:hAnsi="宋体" w:eastAsia="宋体" w:cs="宋体"/>
                <w:b/>
                <w:sz w:val="21"/>
                <w:szCs w:val="21"/>
              </w:rPr>
              <w:t>发酵风味饮料</w:t>
            </w:r>
          </w:p>
        </w:tc>
        <w:tc>
          <w:tcPr>
            <w:tcW w:w="2759" w:type="dxa"/>
          </w:tcPr>
          <w:p w14:paraId="043B8470">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1.每瓶净含量：490ml~510ml，开瓶即饮，有多种口味（两种及以上）；</w:t>
            </w:r>
          </w:p>
          <w:p w14:paraId="5052AF60">
            <w:pPr>
              <w:pStyle w:val="172"/>
              <w:jc w:val="left"/>
              <w:rPr>
                <w:rFonts w:hint="eastAsia" w:ascii="宋体" w:hAnsi="宋体" w:eastAsia="宋体" w:cs="宋体"/>
                <w:sz w:val="21"/>
                <w:szCs w:val="21"/>
              </w:rPr>
            </w:pPr>
            <w:r>
              <w:rPr>
                <w:rFonts w:hint="eastAsia" w:ascii="宋体" w:hAnsi="宋体" w:eastAsia="宋体" w:cs="宋体"/>
                <w:sz w:val="21"/>
                <w:szCs w:val="21"/>
              </w:rPr>
              <w:t>2.产品具有相应的色泽、气味与滋味；组织状态；无异味，均匀液状，无沉淀，无肉眼可见的外来杂质；</w:t>
            </w:r>
          </w:p>
          <w:p w14:paraId="31D26F08">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4A2598D0">
            <w:pPr>
              <w:pStyle w:val="172"/>
              <w:jc w:val="center"/>
              <w:rPr>
                <w:rFonts w:hint="eastAsia" w:ascii="宋体" w:hAnsi="宋体" w:eastAsia="宋体" w:cs="宋体"/>
                <w:sz w:val="21"/>
                <w:szCs w:val="21"/>
              </w:rPr>
            </w:pPr>
            <w:r>
              <w:rPr>
                <w:rFonts w:hint="eastAsia" w:ascii="宋体" w:hAnsi="宋体" w:eastAsia="宋体" w:cs="宋体"/>
                <w:sz w:val="21"/>
                <w:szCs w:val="21"/>
              </w:rPr>
              <w:t>4.10</w:t>
            </w:r>
          </w:p>
        </w:tc>
        <w:tc>
          <w:tcPr>
            <w:tcW w:w="1373" w:type="dxa"/>
            <w:tcMar>
              <w:top w:w="0" w:type="dxa"/>
              <w:left w:w="105" w:type="dxa"/>
              <w:bottom w:w="0" w:type="dxa"/>
              <w:right w:w="105" w:type="dxa"/>
            </w:tcMar>
            <w:vAlign w:val="top"/>
          </w:tcPr>
          <w:p w14:paraId="1EF57142">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20A1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434" w:type="dxa"/>
            <w:tcMar>
              <w:top w:w="0" w:type="dxa"/>
              <w:left w:w="105" w:type="dxa"/>
              <w:bottom w:w="0" w:type="dxa"/>
              <w:right w:w="105" w:type="dxa"/>
            </w:tcMar>
            <w:vAlign w:val="top"/>
          </w:tcPr>
          <w:p w14:paraId="64D28657">
            <w:pPr>
              <w:pStyle w:val="172"/>
              <w:jc w:val="center"/>
              <w:rPr>
                <w:rFonts w:hint="eastAsia" w:ascii="宋体" w:hAnsi="宋体" w:eastAsia="宋体" w:cs="宋体"/>
                <w:sz w:val="21"/>
                <w:szCs w:val="21"/>
              </w:rPr>
            </w:pPr>
            <w:r>
              <w:rPr>
                <w:rFonts w:hint="eastAsia" w:ascii="宋体" w:hAnsi="宋体" w:eastAsia="宋体" w:cs="宋体"/>
                <w:sz w:val="21"/>
                <w:szCs w:val="21"/>
              </w:rPr>
              <w:t>15</w:t>
            </w:r>
          </w:p>
        </w:tc>
        <w:tc>
          <w:tcPr>
            <w:tcW w:w="760" w:type="dxa"/>
            <w:tcMar>
              <w:top w:w="0" w:type="dxa"/>
              <w:left w:w="105" w:type="dxa"/>
              <w:bottom w:w="0" w:type="dxa"/>
              <w:right w:w="105" w:type="dxa"/>
            </w:tcMar>
            <w:vAlign w:val="top"/>
          </w:tcPr>
          <w:p w14:paraId="58E55148">
            <w:pPr>
              <w:pStyle w:val="172"/>
              <w:jc w:val="center"/>
              <w:rPr>
                <w:rFonts w:hint="eastAsia" w:ascii="宋体" w:hAnsi="宋体" w:eastAsia="宋体" w:cs="宋体"/>
                <w:sz w:val="21"/>
                <w:szCs w:val="21"/>
              </w:rPr>
            </w:pPr>
            <w:r>
              <w:rPr>
                <w:rFonts w:hint="eastAsia" w:ascii="宋体" w:hAnsi="宋体" w:eastAsia="宋体" w:cs="宋体"/>
                <w:b/>
                <w:sz w:val="21"/>
                <w:szCs w:val="21"/>
              </w:rPr>
              <w:t>汽水瓶装</w:t>
            </w:r>
          </w:p>
        </w:tc>
        <w:tc>
          <w:tcPr>
            <w:tcW w:w="2759" w:type="dxa"/>
          </w:tcPr>
          <w:p w14:paraId="1E3F2284">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1.每瓶净含量：490ml~550ml，果味型碳酸饮料或可乐型碳酸饮料，开瓶即饮；</w:t>
            </w:r>
            <w:r>
              <w:rPr>
                <w:rFonts w:hint="eastAsia" w:ascii="宋体" w:hAnsi="宋体" w:eastAsia="宋体" w:cs="宋体"/>
                <w:sz w:val="21"/>
                <w:szCs w:val="21"/>
              </w:rPr>
              <w:br w:type="textWrapping"/>
            </w:r>
            <w:r>
              <w:rPr>
                <w:rFonts w:hint="eastAsia" w:ascii="宋体" w:hAnsi="宋体" w:eastAsia="宋体" w:cs="宋体"/>
                <w:sz w:val="21"/>
                <w:szCs w:val="21"/>
              </w:rPr>
              <w:t xml:space="preserve"> 2.具有反映该类产品特点的外观、滋味，不得有异味、臭味和外来杂质；</w:t>
            </w:r>
            <w:r>
              <w:rPr>
                <w:rFonts w:hint="eastAsia" w:ascii="宋体" w:hAnsi="宋体" w:eastAsia="宋体" w:cs="宋体"/>
                <w:sz w:val="21"/>
                <w:szCs w:val="21"/>
              </w:rPr>
              <w:br w:type="textWrapping"/>
            </w:r>
            <w:r>
              <w:rPr>
                <w:rFonts w:hint="eastAsia" w:ascii="宋体" w:hAnsi="宋体" w:eastAsia="宋体" w:cs="宋体"/>
                <w:sz w:val="21"/>
                <w:szCs w:val="21"/>
              </w:rPr>
              <w:t xml:space="preserve"> 3.二氧化碳气容量（20℃）≥1.5倍；</w:t>
            </w:r>
          </w:p>
          <w:p w14:paraId="11495ABD">
            <w:pPr>
              <w:pStyle w:val="172"/>
              <w:jc w:val="left"/>
              <w:rPr>
                <w:rFonts w:hint="eastAsia" w:ascii="宋体" w:hAnsi="宋体" w:eastAsia="宋体" w:cs="宋体"/>
                <w:sz w:val="21"/>
                <w:szCs w:val="21"/>
              </w:rPr>
            </w:pPr>
            <w:r>
              <w:rPr>
                <w:rFonts w:hint="eastAsia" w:ascii="宋体" w:hAnsi="宋体" w:eastAsia="宋体" w:cs="宋体"/>
                <w:sz w:val="21"/>
                <w:szCs w:val="21"/>
              </w:rPr>
              <w:t>4.满足GB/T 10792-2008《碳酸饮料(汽水)》。</w:t>
            </w:r>
          </w:p>
        </w:tc>
        <w:tc>
          <w:tcPr>
            <w:tcW w:w="1033" w:type="dxa"/>
            <w:tcMar>
              <w:top w:w="0" w:type="dxa"/>
              <w:left w:w="105" w:type="dxa"/>
              <w:bottom w:w="0" w:type="dxa"/>
              <w:right w:w="105" w:type="dxa"/>
            </w:tcMar>
            <w:vAlign w:val="top"/>
          </w:tcPr>
          <w:p w14:paraId="7790CD71">
            <w:pPr>
              <w:pStyle w:val="172"/>
              <w:jc w:val="center"/>
              <w:rPr>
                <w:rFonts w:hint="eastAsia" w:ascii="宋体" w:hAnsi="宋体" w:eastAsia="宋体" w:cs="宋体"/>
                <w:sz w:val="21"/>
                <w:szCs w:val="21"/>
              </w:rPr>
            </w:pPr>
            <w:r>
              <w:rPr>
                <w:rFonts w:hint="eastAsia" w:ascii="宋体" w:hAnsi="宋体" w:eastAsia="宋体" w:cs="宋体"/>
                <w:sz w:val="21"/>
                <w:szCs w:val="21"/>
              </w:rPr>
              <w:t>2.55</w:t>
            </w:r>
          </w:p>
        </w:tc>
        <w:tc>
          <w:tcPr>
            <w:tcW w:w="1373" w:type="dxa"/>
            <w:tcMar>
              <w:top w:w="0" w:type="dxa"/>
              <w:left w:w="105" w:type="dxa"/>
              <w:bottom w:w="0" w:type="dxa"/>
              <w:right w:w="105" w:type="dxa"/>
            </w:tcMar>
            <w:vAlign w:val="top"/>
          </w:tcPr>
          <w:p w14:paraId="216FF382">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0755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434" w:type="dxa"/>
            <w:tcMar>
              <w:top w:w="0" w:type="dxa"/>
              <w:left w:w="105" w:type="dxa"/>
              <w:bottom w:w="0" w:type="dxa"/>
              <w:right w:w="105" w:type="dxa"/>
            </w:tcMar>
            <w:vAlign w:val="top"/>
          </w:tcPr>
          <w:p w14:paraId="38A1BABB">
            <w:pPr>
              <w:pStyle w:val="172"/>
              <w:jc w:val="center"/>
              <w:rPr>
                <w:rFonts w:hint="eastAsia" w:ascii="宋体" w:hAnsi="宋体" w:eastAsia="宋体" w:cs="宋体"/>
                <w:sz w:val="21"/>
                <w:szCs w:val="21"/>
              </w:rPr>
            </w:pPr>
            <w:r>
              <w:rPr>
                <w:rFonts w:hint="eastAsia" w:ascii="宋体" w:hAnsi="宋体" w:eastAsia="宋体" w:cs="宋体"/>
                <w:sz w:val="21"/>
                <w:szCs w:val="21"/>
              </w:rPr>
              <w:t>16</w:t>
            </w:r>
          </w:p>
        </w:tc>
        <w:tc>
          <w:tcPr>
            <w:tcW w:w="760" w:type="dxa"/>
            <w:tcMar>
              <w:top w:w="0" w:type="dxa"/>
              <w:left w:w="105" w:type="dxa"/>
              <w:bottom w:w="0" w:type="dxa"/>
              <w:right w:w="105" w:type="dxa"/>
            </w:tcMar>
            <w:vAlign w:val="top"/>
          </w:tcPr>
          <w:p w14:paraId="5A582206">
            <w:pPr>
              <w:pStyle w:val="172"/>
              <w:jc w:val="center"/>
              <w:rPr>
                <w:rFonts w:hint="eastAsia" w:ascii="宋体" w:hAnsi="宋体" w:eastAsia="宋体" w:cs="宋体"/>
                <w:sz w:val="21"/>
                <w:szCs w:val="21"/>
              </w:rPr>
            </w:pPr>
            <w:r>
              <w:rPr>
                <w:rFonts w:hint="eastAsia" w:ascii="宋体" w:hAnsi="宋体" w:eastAsia="宋体" w:cs="宋体"/>
                <w:b/>
                <w:sz w:val="21"/>
                <w:szCs w:val="21"/>
              </w:rPr>
              <w:t>无糖汽水瓶装</w:t>
            </w:r>
          </w:p>
        </w:tc>
        <w:tc>
          <w:tcPr>
            <w:tcW w:w="2759" w:type="dxa"/>
          </w:tcPr>
          <w:p w14:paraId="753C4B42">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1.每瓶净含量：490ml~550ml，果味型碳酸饮料或可乐型碳酸饮料，开瓶即饮；</w:t>
            </w:r>
            <w:r>
              <w:rPr>
                <w:rFonts w:hint="eastAsia" w:ascii="宋体" w:hAnsi="宋体" w:eastAsia="宋体" w:cs="宋体"/>
                <w:sz w:val="21"/>
                <w:szCs w:val="21"/>
              </w:rPr>
              <w:br w:type="textWrapping"/>
            </w:r>
            <w:r>
              <w:rPr>
                <w:rFonts w:hint="eastAsia" w:ascii="宋体" w:hAnsi="宋体" w:eastAsia="宋体" w:cs="宋体"/>
                <w:sz w:val="21"/>
                <w:szCs w:val="21"/>
              </w:rPr>
              <w:t xml:space="preserve"> 2.具有反映该类产品特点的外观、滋味，不得有异味、臭味和外来杂质；</w:t>
            </w:r>
            <w:r>
              <w:rPr>
                <w:rFonts w:hint="eastAsia" w:ascii="宋体" w:hAnsi="宋体" w:eastAsia="宋体" w:cs="宋体"/>
                <w:sz w:val="21"/>
                <w:szCs w:val="21"/>
              </w:rPr>
              <w:br w:type="textWrapping"/>
            </w:r>
            <w:r>
              <w:rPr>
                <w:rFonts w:hint="eastAsia" w:ascii="宋体" w:hAnsi="宋体" w:eastAsia="宋体" w:cs="宋体"/>
                <w:sz w:val="21"/>
                <w:szCs w:val="21"/>
              </w:rPr>
              <w:t xml:space="preserve"> 3.二氧化碳气容量（20℃）≥1.5倍；</w:t>
            </w:r>
          </w:p>
          <w:p w14:paraId="4C954780">
            <w:pPr>
              <w:pStyle w:val="172"/>
              <w:jc w:val="left"/>
              <w:rPr>
                <w:rFonts w:hint="eastAsia" w:ascii="宋体" w:hAnsi="宋体" w:eastAsia="宋体" w:cs="宋体"/>
                <w:sz w:val="21"/>
                <w:szCs w:val="21"/>
              </w:rPr>
            </w:pPr>
            <w:r>
              <w:rPr>
                <w:rFonts w:hint="eastAsia" w:ascii="宋体" w:hAnsi="宋体" w:eastAsia="宋体" w:cs="宋体"/>
                <w:sz w:val="21"/>
                <w:szCs w:val="21"/>
              </w:rPr>
              <w:t>4.满足GB/T 10792-2008《碳酸饮料(汽水)》标准规定。</w:t>
            </w:r>
          </w:p>
        </w:tc>
        <w:tc>
          <w:tcPr>
            <w:tcW w:w="1033" w:type="dxa"/>
            <w:tcMar>
              <w:top w:w="0" w:type="dxa"/>
              <w:left w:w="105" w:type="dxa"/>
              <w:bottom w:w="0" w:type="dxa"/>
              <w:right w:w="105" w:type="dxa"/>
            </w:tcMar>
            <w:vAlign w:val="top"/>
          </w:tcPr>
          <w:p w14:paraId="1D2972A6">
            <w:pPr>
              <w:pStyle w:val="172"/>
              <w:jc w:val="center"/>
              <w:rPr>
                <w:rFonts w:hint="eastAsia" w:ascii="宋体" w:hAnsi="宋体" w:eastAsia="宋体" w:cs="宋体"/>
                <w:sz w:val="21"/>
                <w:szCs w:val="21"/>
              </w:rPr>
            </w:pPr>
            <w:r>
              <w:rPr>
                <w:rFonts w:hint="eastAsia" w:ascii="宋体" w:hAnsi="宋体" w:eastAsia="宋体" w:cs="宋体"/>
                <w:sz w:val="21"/>
                <w:szCs w:val="21"/>
              </w:rPr>
              <w:t>2.55</w:t>
            </w:r>
          </w:p>
        </w:tc>
        <w:tc>
          <w:tcPr>
            <w:tcW w:w="1373" w:type="dxa"/>
            <w:tcMar>
              <w:top w:w="0" w:type="dxa"/>
              <w:left w:w="105" w:type="dxa"/>
              <w:bottom w:w="0" w:type="dxa"/>
              <w:right w:w="105" w:type="dxa"/>
            </w:tcMar>
            <w:vAlign w:val="top"/>
          </w:tcPr>
          <w:p w14:paraId="07CDF751">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3BF5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434" w:type="dxa"/>
            <w:tcMar>
              <w:top w:w="0" w:type="dxa"/>
              <w:left w:w="105" w:type="dxa"/>
              <w:bottom w:w="0" w:type="dxa"/>
              <w:right w:w="105" w:type="dxa"/>
            </w:tcMar>
            <w:vAlign w:val="top"/>
          </w:tcPr>
          <w:p w14:paraId="52FE51CC">
            <w:pPr>
              <w:pStyle w:val="172"/>
              <w:jc w:val="center"/>
              <w:rPr>
                <w:rFonts w:hint="eastAsia" w:ascii="宋体" w:hAnsi="宋体" w:eastAsia="宋体" w:cs="宋体"/>
                <w:sz w:val="21"/>
                <w:szCs w:val="21"/>
              </w:rPr>
            </w:pPr>
            <w:r>
              <w:rPr>
                <w:rFonts w:hint="eastAsia" w:ascii="宋体" w:hAnsi="宋体" w:eastAsia="宋体" w:cs="宋体"/>
                <w:sz w:val="21"/>
                <w:szCs w:val="21"/>
              </w:rPr>
              <w:t>17</w:t>
            </w:r>
          </w:p>
        </w:tc>
        <w:tc>
          <w:tcPr>
            <w:tcW w:w="760" w:type="dxa"/>
            <w:tcMar>
              <w:top w:w="0" w:type="dxa"/>
              <w:left w:w="105" w:type="dxa"/>
              <w:bottom w:w="0" w:type="dxa"/>
              <w:right w:w="105" w:type="dxa"/>
            </w:tcMar>
            <w:vAlign w:val="top"/>
          </w:tcPr>
          <w:p w14:paraId="34C2FE07">
            <w:pPr>
              <w:pStyle w:val="172"/>
              <w:jc w:val="center"/>
              <w:rPr>
                <w:rFonts w:hint="eastAsia" w:ascii="宋体" w:hAnsi="宋体" w:eastAsia="宋体" w:cs="宋体"/>
                <w:sz w:val="21"/>
                <w:szCs w:val="21"/>
              </w:rPr>
            </w:pPr>
            <w:r>
              <w:rPr>
                <w:rFonts w:hint="eastAsia" w:ascii="宋体" w:hAnsi="宋体" w:eastAsia="宋体" w:cs="宋体"/>
                <w:b/>
                <w:sz w:val="21"/>
                <w:szCs w:val="21"/>
              </w:rPr>
              <w:t>汽水罐装</w:t>
            </w:r>
          </w:p>
        </w:tc>
        <w:tc>
          <w:tcPr>
            <w:tcW w:w="2759" w:type="dxa"/>
          </w:tcPr>
          <w:p w14:paraId="70EA822A">
            <w:pPr>
              <w:pStyle w:val="172"/>
              <w:jc w:val="left"/>
              <w:rPr>
                <w:rFonts w:hint="eastAsia" w:ascii="宋体" w:hAnsi="宋体" w:eastAsia="宋体" w:cs="宋体"/>
                <w:sz w:val="21"/>
                <w:szCs w:val="21"/>
              </w:rPr>
            </w:pPr>
            <w:r>
              <w:rPr>
                <w:rFonts w:hint="eastAsia" w:ascii="宋体" w:hAnsi="宋体" w:eastAsia="宋体" w:cs="宋体"/>
                <w:sz w:val="21"/>
                <w:szCs w:val="21"/>
              </w:rPr>
              <w:t>1.每罐净含量：320-340ml，果味型碳酸饮料或可乐型碳酸饮料，开瓶即饮；</w:t>
            </w:r>
            <w:r>
              <w:rPr>
                <w:rFonts w:hint="eastAsia" w:ascii="宋体" w:hAnsi="宋体" w:eastAsia="宋体" w:cs="宋体"/>
                <w:sz w:val="21"/>
                <w:szCs w:val="21"/>
              </w:rPr>
              <w:br w:type="textWrapping"/>
            </w:r>
            <w:r>
              <w:rPr>
                <w:rFonts w:hint="eastAsia" w:ascii="宋体" w:hAnsi="宋体" w:eastAsia="宋体" w:cs="宋体"/>
                <w:sz w:val="21"/>
                <w:szCs w:val="21"/>
              </w:rPr>
              <w:t xml:space="preserve"> 2.具有反映该类产品特点的外观、滋味，不得有异味、臭味和外来杂质；</w:t>
            </w:r>
            <w:r>
              <w:rPr>
                <w:rFonts w:hint="eastAsia" w:ascii="宋体" w:hAnsi="宋体" w:eastAsia="宋体" w:cs="宋体"/>
                <w:sz w:val="21"/>
                <w:szCs w:val="21"/>
              </w:rPr>
              <w:br w:type="textWrapping"/>
            </w:r>
            <w:r>
              <w:rPr>
                <w:rFonts w:hint="eastAsia" w:ascii="宋体" w:hAnsi="宋体" w:eastAsia="宋体" w:cs="宋体"/>
                <w:sz w:val="21"/>
                <w:szCs w:val="21"/>
              </w:rPr>
              <w:t xml:space="preserve"> 3.二氧化碳气容量（20℃）≥1.5倍；</w:t>
            </w:r>
          </w:p>
          <w:p w14:paraId="4F1EDA09">
            <w:pPr>
              <w:pStyle w:val="172"/>
              <w:jc w:val="left"/>
              <w:rPr>
                <w:rFonts w:hint="eastAsia" w:ascii="宋体" w:hAnsi="宋体" w:eastAsia="宋体" w:cs="宋体"/>
                <w:sz w:val="21"/>
                <w:szCs w:val="21"/>
              </w:rPr>
            </w:pPr>
            <w:r>
              <w:rPr>
                <w:rFonts w:hint="eastAsia" w:ascii="宋体" w:hAnsi="宋体" w:eastAsia="宋体" w:cs="宋体"/>
                <w:sz w:val="21"/>
                <w:szCs w:val="21"/>
              </w:rPr>
              <w:t>4.满足GB/T 10792-2008《碳酸饮料(汽水)》标准规定。</w:t>
            </w:r>
          </w:p>
        </w:tc>
        <w:tc>
          <w:tcPr>
            <w:tcW w:w="1033" w:type="dxa"/>
            <w:tcMar>
              <w:top w:w="0" w:type="dxa"/>
              <w:left w:w="105" w:type="dxa"/>
              <w:bottom w:w="0" w:type="dxa"/>
              <w:right w:w="105" w:type="dxa"/>
            </w:tcMar>
            <w:vAlign w:val="top"/>
          </w:tcPr>
          <w:p w14:paraId="0AF3CA98">
            <w:pPr>
              <w:pStyle w:val="172"/>
              <w:jc w:val="center"/>
              <w:rPr>
                <w:rFonts w:hint="eastAsia" w:ascii="宋体" w:hAnsi="宋体" w:eastAsia="宋体" w:cs="宋体"/>
                <w:sz w:val="21"/>
                <w:szCs w:val="21"/>
              </w:rPr>
            </w:pPr>
            <w:r>
              <w:rPr>
                <w:rFonts w:hint="eastAsia" w:ascii="宋体" w:hAnsi="宋体" w:eastAsia="宋体" w:cs="宋体"/>
                <w:sz w:val="21"/>
                <w:szCs w:val="21"/>
              </w:rPr>
              <w:t>2.55</w:t>
            </w:r>
          </w:p>
        </w:tc>
        <w:tc>
          <w:tcPr>
            <w:tcW w:w="1373" w:type="dxa"/>
            <w:tcMar>
              <w:top w:w="0" w:type="dxa"/>
              <w:left w:w="105" w:type="dxa"/>
              <w:bottom w:w="0" w:type="dxa"/>
              <w:right w:w="105" w:type="dxa"/>
            </w:tcMar>
            <w:vAlign w:val="top"/>
          </w:tcPr>
          <w:p w14:paraId="3D4D2486">
            <w:pPr>
              <w:pStyle w:val="172"/>
              <w:jc w:val="center"/>
              <w:rPr>
                <w:rFonts w:hint="eastAsia" w:ascii="宋体" w:hAnsi="宋体" w:eastAsia="宋体" w:cs="宋体"/>
                <w:sz w:val="21"/>
                <w:szCs w:val="21"/>
              </w:rPr>
            </w:pPr>
            <w:r>
              <w:rPr>
                <w:rFonts w:hint="eastAsia" w:ascii="宋体" w:hAnsi="宋体" w:eastAsia="宋体" w:cs="宋体"/>
                <w:sz w:val="21"/>
                <w:szCs w:val="21"/>
              </w:rPr>
              <w:t>罐</w:t>
            </w:r>
          </w:p>
        </w:tc>
      </w:tr>
      <w:tr w14:paraId="2908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434" w:type="dxa"/>
            <w:tcMar>
              <w:top w:w="0" w:type="dxa"/>
              <w:left w:w="105" w:type="dxa"/>
              <w:bottom w:w="0" w:type="dxa"/>
              <w:right w:w="105" w:type="dxa"/>
            </w:tcMar>
            <w:vAlign w:val="top"/>
          </w:tcPr>
          <w:p w14:paraId="75642E9F">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760" w:type="dxa"/>
            <w:tcMar>
              <w:top w:w="0" w:type="dxa"/>
              <w:left w:w="105" w:type="dxa"/>
              <w:bottom w:w="0" w:type="dxa"/>
              <w:right w:w="105" w:type="dxa"/>
            </w:tcMar>
            <w:vAlign w:val="top"/>
          </w:tcPr>
          <w:p w14:paraId="1AD346D1">
            <w:pPr>
              <w:pStyle w:val="172"/>
              <w:jc w:val="center"/>
              <w:rPr>
                <w:rFonts w:hint="eastAsia" w:ascii="宋体" w:hAnsi="宋体" w:eastAsia="宋体" w:cs="宋体"/>
                <w:b/>
                <w:sz w:val="21"/>
                <w:szCs w:val="21"/>
              </w:rPr>
            </w:pPr>
            <w:r>
              <w:rPr>
                <w:rFonts w:hint="eastAsia" w:ascii="宋体" w:hAnsi="宋体" w:eastAsia="宋体" w:cs="宋体"/>
                <w:b/>
                <w:sz w:val="21"/>
                <w:szCs w:val="21"/>
              </w:rPr>
              <w:t>维生素功能饮料</w:t>
            </w:r>
          </w:p>
        </w:tc>
        <w:tc>
          <w:tcPr>
            <w:tcW w:w="2759" w:type="dxa"/>
          </w:tcPr>
          <w:p w14:paraId="3FF92CB6">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w:t>
            </w:r>
            <w:r>
              <w:rPr>
                <w:rFonts w:hint="eastAsia" w:ascii="宋体" w:hAnsi="宋体" w:eastAsia="宋体" w:cs="宋体"/>
                <w:sz w:val="21"/>
                <w:szCs w:val="21"/>
                <w:lang w:val="en-US" w:eastAsia="zh-CN"/>
              </w:rPr>
              <w:t>运动</w:t>
            </w:r>
            <w:r>
              <w:rPr>
                <w:rFonts w:hint="eastAsia" w:ascii="宋体" w:hAnsi="宋体" w:eastAsia="宋体" w:cs="宋体"/>
                <w:sz w:val="21"/>
                <w:szCs w:val="21"/>
              </w:rPr>
              <w:t>饮料，开瓶即饮；</w:t>
            </w:r>
            <w:r>
              <w:rPr>
                <w:rFonts w:hint="eastAsia" w:ascii="宋体" w:hAnsi="宋体" w:eastAsia="宋体" w:cs="宋体"/>
                <w:sz w:val="21"/>
                <w:szCs w:val="21"/>
              </w:rPr>
              <w:br w:type="textWrapping"/>
            </w:r>
            <w:r>
              <w:rPr>
                <w:rFonts w:hint="eastAsia" w:ascii="宋体" w:hAnsi="宋体" w:eastAsia="宋体" w:cs="宋体"/>
                <w:sz w:val="21"/>
                <w:szCs w:val="21"/>
              </w:rPr>
              <w:t xml:space="preserve"> 2.具有反映该类产品特点的外观、滋味，不得有异味、臭味和外来杂质；</w:t>
            </w:r>
            <w:r>
              <w:rPr>
                <w:rFonts w:hint="eastAsia" w:ascii="宋体" w:hAnsi="宋体" w:eastAsia="宋体" w:cs="宋体"/>
                <w:sz w:val="21"/>
                <w:szCs w:val="21"/>
              </w:rPr>
              <w:br w:type="textWrapping"/>
            </w:r>
            <w:r>
              <w:rPr>
                <w:rFonts w:hint="eastAsia" w:ascii="宋体" w:hAnsi="宋体" w:eastAsia="宋体" w:cs="宋体"/>
                <w:sz w:val="21"/>
                <w:szCs w:val="21"/>
              </w:rPr>
              <w:t xml:space="preserve"> 3.二氧化碳气容量（20℃）≥1.5倍；</w:t>
            </w:r>
          </w:p>
          <w:p w14:paraId="03B0A136">
            <w:pPr>
              <w:pStyle w:val="172"/>
              <w:jc w:val="left"/>
              <w:rPr>
                <w:rFonts w:hint="eastAsia" w:ascii="宋体" w:hAnsi="宋体" w:eastAsia="宋体" w:cs="宋体"/>
                <w:sz w:val="21"/>
                <w:szCs w:val="21"/>
              </w:rPr>
            </w:pPr>
            <w:r>
              <w:rPr>
                <w:rFonts w:hint="eastAsia" w:ascii="宋体" w:hAnsi="宋体" w:eastAsia="宋体" w:cs="宋体"/>
                <w:sz w:val="21"/>
                <w:szCs w:val="21"/>
              </w:rPr>
              <w:t>4.满足GB 7101-2022《食品安全国家标准饮料》标准规定。</w:t>
            </w:r>
          </w:p>
        </w:tc>
        <w:tc>
          <w:tcPr>
            <w:tcW w:w="1033" w:type="dxa"/>
            <w:tcMar>
              <w:top w:w="0" w:type="dxa"/>
              <w:left w:w="105" w:type="dxa"/>
              <w:bottom w:w="0" w:type="dxa"/>
              <w:right w:w="105" w:type="dxa"/>
            </w:tcMar>
            <w:vAlign w:val="top"/>
          </w:tcPr>
          <w:p w14:paraId="047C5487">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4.50</w:t>
            </w:r>
          </w:p>
        </w:tc>
        <w:tc>
          <w:tcPr>
            <w:tcW w:w="1373" w:type="dxa"/>
            <w:tcMar>
              <w:top w:w="0" w:type="dxa"/>
              <w:left w:w="105" w:type="dxa"/>
              <w:bottom w:w="0" w:type="dxa"/>
              <w:right w:w="105" w:type="dxa"/>
            </w:tcMar>
            <w:vAlign w:val="top"/>
          </w:tcPr>
          <w:p w14:paraId="563D030F">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瓶</w:t>
            </w:r>
          </w:p>
        </w:tc>
      </w:tr>
      <w:tr w14:paraId="6C0A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434" w:type="dxa"/>
            <w:tcMar>
              <w:top w:w="0" w:type="dxa"/>
              <w:left w:w="105" w:type="dxa"/>
              <w:bottom w:w="0" w:type="dxa"/>
              <w:right w:w="105" w:type="dxa"/>
            </w:tcMar>
            <w:vAlign w:val="top"/>
          </w:tcPr>
          <w:p w14:paraId="0B1C187D">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760" w:type="dxa"/>
            <w:tcMar>
              <w:top w:w="0" w:type="dxa"/>
              <w:left w:w="105" w:type="dxa"/>
              <w:bottom w:w="0" w:type="dxa"/>
              <w:right w:w="105" w:type="dxa"/>
            </w:tcMar>
            <w:vAlign w:val="top"/>
          </w:tcPr>
          <w:p w14:paraId="61DF0474">
            <w:pPr>
              <w:pStyle w:val="17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瓶装饮用水</w:t>
            </w:r>
          </w:p>
        </w:tc>
        <w:tc>
          <w:tcPr>
            <w:tcW w:w="2759" w:type="dxa"/>
          </w:tcPr>
          <w:p w14:paraId="7542AAFE">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w:t>
            </w:r>
            <w:r>
              <w:rPr>
                <w:rFonts w:hint="eastAsia" w:ascii="宋体" w:hAnsi="宋体" w:eastAsia="宋体" w:cs="宋体"/>
                <w:sz w:val="21"/>
                <w:szCs w:val="21"/>
                <w:lang w:val="en-US" w:eastAsia="zh-CN"/>
              </w:rPr>
              <w:t>饮用纯净水或饮用天然水</w:t>
            </w:r>
            <w:r>
              <w:rPr>
                <w:rFonts w:hint="eastAsia" w:ascii="宋体" w:hAnsi="宋体" w:eastAsia="宋体" w:cs="宋体"/>
                <w:sz w:val="21"/>
                <w:szCs w:val="21"/>
              </w:rPr>
              <w:t>，开瓶即饮；</w:t>
            </w:r>
            <w:r>
              <w:rPr>
                <w:rFonts w:hint="eastAsia" w:ascii="宋体" w:hAnsi="宋体" w:eastAsia="宋体" w:cs="宋体"/>
                <w:sz w:val="21"/>
                <w:szCs w:val="21"/>
              </w:rPr>
              <w:br w:type="textWrapping"/>
            </w:r>
            <w:r>
              <w:rPr>
                <w:rFonts w:hint="eastAsia" w:ascii="宋体" w:hAnsi="宋体" w:eastAsia="宋体" w:cs="宋体"/>
                <w:sz w:val="21"/>
                <w:szCs w:val="21"/>
              </w:rPr>
              <w:t xml:space="preserve"> 2.具有反映该类产品特点的外观、滋味，不得有异味、臭味和外来杂质；</w:t>
            </w:r>
            <w:r>
              <w:rPr>
                <w:rFonts w:hint="eastAsia" w:ascii="宋体" w:hAnsi="宋体" w:eastAsia="宋体" w:cs="宋体"/>
                <w:sz w:val="21"/>
                <w:szCs w:val="21"/>
              </w:rPr>
              <w:br w:type="textWrapping"/>
            </w:r>
            <w:r>
              <w:rPr>
                <w:rFonts w:hint="eastAsia" w:ascii="宋体" w:hAnsi="宋体" w:eastAsia="宋体" w:cs="宋体"/>
                <w:sz w:val="21"/>
                <w:szCs w:val="21"/>
              </w:rPr>
              <w:t xml:space="preserve"> 3.</w:t>
            </w:r>
            <w:r>
              <w:rPr>
                <w:rFonts w:hint="eastAsia" w:ascii="宋体" w:hAnsi="宋体" w:eastAsia="宋体" w:cs="宋体"/>
                <w:sz w:val="21"/>
                <w:szCs w:val="21"/>
                <w:lang w:val="en-US" w:eastAsia="zh-CN"/>
              </w:rPr>
              <w:t>满足</w:t>
            </w:r>
            <w:r>
              <w:rPr>
                <w:rFonts w:hint="default" w:ascii="宋体" w:hAnsi="宋体" w:eastAsia="宋体" w:cs="宋体"/>
                <w:sz w:val="21"/>
                <w:szCs w:val="21"/>
              </w:rPr>
              <w:t>GB 19298-2014</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E3%80%8A%E9%A3%9F%E5%93%81%E5%AE%89%E5%85%A8%E5%9B%BD%E5%AE%B6%E6%A0%87%E5%87%86%E5%8C%85%E8%A3%85%E9%A5%AE%E7%94%A8%E6%B0%B4%E3%80%8B&amp;rsv_idx=2&amp;tn=54093922_43_hao_pg&amp;usm=3&amp;ie=utf-8&amp;rsv_pq=9bda16f70008641b&amp;oq=%E9%A5%AE%E7%94%A8%E5%A4%A9%E7%84%B6%E6%B0%B4%E6%89%A7%E8%A1%8C%E6%A0%87%E5%87%86&amp;rsv_t=dd40iWpPv8qumFZiKwVDM2XOzY+c/2ifI6eGgWepW4rlyEDAVDk2UcujHEK/KHGLNDrEI+iNEtvF&amp;rsv_dl=re_dqa_generate&amp;sa=re_dqa_generate" \t "https://www.baidu.com/_self" </w:instrText>
            </w:r>
            <w:r>
              <w:rPr>
                <w:rFonts w:hint="eastAsia" w:ascii="宋体" w:hAnsi="宋体" w:eastAsia="宋体" w:cs="宋体"/>
                <w:sz w:val="21"/>
                <w:szCs w:val="21"/>
              </w:rPr>
              <w:fldChar w:fldCharType="separate"/>
            </w:r>
            <w:r>
              <w:rPr>
                <w:rFonts w:hint="default" w:ascii="宋体" w:hAnsi="宋体" w:eastAsia="宋体" w:cs="宋体"/>
                <w:sz w:val="21"/>
                <w:szCs w:val="21"/>
              </w:rPr>
              <w:t>《食品安全国家标准包装饮用水》</w:t>
            </w:r>
            <w:r>
              <w:rPr>
                <w:rFonts w:hint="default" w:ascii="宋体" w:hAnsi="宋体" w:eastAsia="宋体" w:cs="宋体"/>
                <w:sz w:val="21"/>
                <w:szCs w:val="21"/>
              </w:rPr>
              <w:fldChar w:fldCharType="end"/>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0E727F39">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1373" w:type="dxa"/>
            <w:tcMar>
              <w:top w:w="0" w:type="dxa"/>
              <w:left w:w="105" w:type="dxa"/>
              <w:bottom w:w="0" w:type="dxa"/>
              <w:right w:w="105" w:type="dxa"/>
            </w:tcMar>
            <w:vAlign w:val="top"/>
          </w:tcPr>
          <w:p w14:paraId="6AFAD575">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瓶</w:t>
            </w:r>
          </w:p>
        </w:tc>
      </w:tr>
      <w:tr w14:paraId="0107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1434" w:type="dxa"/>
            <w:tcMar>
              <w:top w:w="0" w:type="dxa"/>
              <w:left w:w="105" w:type="dxa"/>
              <w:bottom w:w="0" w:type="dxa"/>
              <w:right w:w="105" w:type="dxa"/>
            </w:tcMar>
            <w:vAlign w:val="top"/>
          </w:tcPr>
          <w:p w14:paraId="16A26E64">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760" w:type="dxa"/>
            <w:tcMar>
              <w:top w:w="0" w:type="dxa"/>
              <w:left w:w="105" w:type="dxa"/>
              <w:bottom w:w="0" w:type="dxa"/>
              <w:right w:w="105" w:type="dxa"/>
            </w:tcMar>
            <w:vAlign w:val="top"/>
          </w:tcPr>
          <w:p w14:paraId="04A99398">
            <w:pPr>
              <w:pStyle w:val="172"/>
              <w:jc w:val="center"/>
              <w:rPr>
                <w:rFonts w:hint="eastAsia" w:ascii="宋体" w:hAnsi="宋体" w:eastAsia="宋体" w:cs="宋体"/>
                <w:sz w:val="21"/>
                <w:szCs w:val="21"/>
              </w:rPr>
            </w:pPr>
            <w:r>
              <w:rPr>
                <w:rFonts w:hint="eastAsia" w:ascii="宋体" w:hAnsi="宋体" w:eastAsia="宋体" w:cs="宋体"/>
                <w:b/>
                <w:sz w:val="21"/>
                <w:szCs w:val="21"/>
              </w:rPr>
              <w:t>韧性饼干</w:t>
            </w:r>
          </w:p>
        </w:tc>
        <w:tc>
          <w:tcPr>
            <w:tcW w:w="2759" w:type="dxa"/>
          </w:tcPr>
          <w:p w14:paraId="53376D6A">
            <w:pPr>
              <w:pStyle w:val="172"/>
              <w:jc w:val="left"/>
              <w:rPr>
                <w:rFonts w:hint="eastAsia" w:ascii="宋体" w:hAnsi="宋体" w:eastAsia="宋体" w:cs="宋体"/>
                <w:sz w:val="21"/>
                <w:szCs w:val="21"/>
              </w:rPr>
            </w:pPr>
            <w:r>
              <w:rPr>
                <w:rFonts w:hint="eastAsia" w:ascii="宋体" w:hAnsi="宋体" w:eastAsia="宋体" w:cs="宋体"/>
                <w:sz w:val="21"/>
                <w:szCs w:val="21"/>
              </w:rPr>
              <w:t>1.每盒/袋净含量：100g~110g，有核桃、杏仁、腰果多种口味，开袋即食；</w:t>
            </w:r>
            <w:r>
              <w:rPr>
                <w:rFonts w:hint="eastAsia" w:ascii="宋体" w:hAnsi="宋体" w:eastAsia="宋体" w:cs="宋体"/>
                <w:sz w:val="21"/>
                <w:szCs w:val="21"/>
              </w:rPr>
              <w:br w:type="textWrapping"/>
            </w:r>
            <w:r>
              <w:rPr>
                <w:rFonts w:hint="eastAsia" w:ascii="宋体" w:hAnsi="宋体" w:eastAsia="宋体" w:cs="宋体"/>
                <w:sz w:val="21"/>
                <w:szCs w:val="21"/>
              </w:rPr>
              <w:t xml:space="preserve"> 2.外形完整，花纹清晰或无花纹，厚薄均匀，不收缩、不变形、无裂痕；具有产品应有的色泽，香味，无异味，口感松脆，断面结构有层或呈多孔状；无正常视力可见的外来异物；</w:t>
            </w:r>
            <w:r>
              <w:rPr>
                <w:rFonts w:hint="eastAsia" w:ascii="宋体" w:hAnsi="宋体" w:eastAsia="宋体" w:cs="宋体"/>
                <w:sz w:val="21"/>
                <w:szCs w:val="21"/>
              </w:rPr>
              <w:br w:type="textWrapping"/>
            </w:r>
            <w:r>
              <w:rPr>
                <w:rFonts w:hint="eastAsia" w:ascii="宋体" w:hAnsi="宋体" w:eastAsia="宋体" w:cs="宋体"/>
                <w:sz w:val="21"/>
                <w:szCs w:val="21"/>
              </w:rPr>
              <w:t xml:space="preserve"> 3.满足GB/T20980-2021《饼干质量通则》标准规定。</w:t>
            </w:r>
          </w:p>
        </w:tc>
        <w:tc>
          <w:tcPr>
            <w:tcW w:w="1033" w:type="dxa"/>
            <w:tcMar>
              <w:top w:w="0" w:type="dxa"/>
              <w:left w:w="105" w:type="dxa"/>
              <w:bottom w:w="0" w:type="dxa"/>
              <w:right w:w="105" w:type="dxa"/>
            </w:tcMar>
            <w:vAlign w:val="top"/>
          </w:tcPr>
          <w:p w14:paraId="0029C0C8">
            <w:pPr>
              <w:pStyle w:val="172"/>
              <w:jc w:val="center"/>
              <w:rPr>
                <w:rFonts w:hint="eastAsia" w:ascii="宋体" w:hAnsi="宋体" w:eastAsia="宋体" w:cs="宋体"/>
                <w:sz w:val="21"/>
                <w:szCs w:val="21"/>
              </w:rPr>
            </w:pPr>
            <w:r>
              <w:rPr>
                <w:rFonts w:hint="eastAsia" w:ascii="宋体" w:hAnsi="宋体" w:eastAsia="宋体" w:cs="宋体"/>
                <w:sz w:val="21"/>
                <w:szCs w:val="21"/>
              </w:rPr>
              <w:t>3.80</w:t>
            </w:r>
          </w:p>
        </w:tc>
        <w:tc>
          <w:tcPr>
            <w:tcW w:w="1373" w:type="dxa"/>
            <w:tcMar>
              <w:top w:w="0" w:type="dxa"/>
              <w:left w:w="105" w:type="dxa"/>
              <w:bottom w:w="0" w:type="dxa"/>
              <w:right w:w="105" w:type="dxa"/>
            </w:tcMar>
            <w:vAlign w:val="top"/>
          </w:tcPr>
          <w:p w14:paraId="5F444DC2">
            <w:pPr>
              <w:pStyle w:val="172"/>
              <w:jc w:val="center"/>
              <w:rPr>
                <w:rFonts w:hint="eastAsia" w:ascii="宋体" w:hAnsi="宋体" w:eastAsia="宋体" w:cs="宋体"/>
                <w:sz w:val="21"/>
                <w:szCs w:val="21"/>
              </w:rPr>
            </w:pPr>
            <w:r>
              <w:rPr>
                <w:rFonts w:hint="eastAsia" w:ascii="宋体" w:hAnsi="宋体" w:eastAsia="宋体" w:cs="宋体"/>
                <w:sz w:val="21"/>
                <w:szCs w:val="21"/>
              </w:rPr>
              <w:t>盒（袋）</w:t>
            </w:r>
          </w:p>
        </w:tc>
      </w:tr>
      <w:tr w14:paraId="307C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1434" w:type="dxa"/>
            <w:tcMar>
              <w:top w:w="0" w:type="dxa"/>
              <w:left w:w="105" w:type="dxa"/>
              <w:bottom w:w="0" w:type="dxa"/>
              <w:right w:w="105" w:type="dxa"/>
            </w:tcMar>
            <w:vAlign w:val="top"/>
          </w:tcPr>
          <w:p w14:paraId="3DD6A784">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760" w:type="dxa"/>
            <w:tcMar>
              <w:top w:w="0" w:type="dxa"/>
              <w:left w:w="105" w:type="dxa"/>
              <w:bottom w:w="0" w:type="dxa"/>
              <w:right w:w="105" w:type="dxa"/>
            </w:tcMar>
            <w:vAlign w:val="top"/>
          </w:tcPr>
          <w:p w14:paraId="6E64F998">
            <w:pPr>
              <w:pStyle w:val="172"/>
              <w:jc w:val="center"/>
              <w:rPr>
                <w:rFonts w:hint="eastAsia" w:ascii="宋体" w:hAnsi="宋体" w:eastAsia="宋体" w:cs="宋体"/>
                <w:sz w:val="21"/>
                <w:szCs w:val="21"/>
              </w:rPr>
            </w:pPr>
            <w:r>
              <w:rPr>
                <w:rFonts w:hint="eastAsia" w:ascii="宋体" w:hAnsi="宋体" w:eastAsia="宋体" w:cs="宋体"/>
                <w:b/>
                <w:sz w:val="21"/>
                <w:szCs w:val="21"/>
              </w:rPr>
              <w:t>夹心饼干</w:t>
            </w:r>
          </w:p>
        </w:tc>
        <w:tc>
          <w:tcPr>
            <w:tcW w:w="2759" w:type="dxa"/>
          </w:tcPr>
          <w:p w14:paraId="34844ACE">
            <w:pPr>
              <w:pStyle w:val="172"/>
              <w:jc w:val="left"/>
              <w:rPr>
                <w:rFonts w:hint="eastAsia" w:ascii="宋体" w:hAnsi="宋体" w:eastAsia="宋体" w:cs="宋体"/>
                <w:sz w:val="21"/>
                <w:szCs w:val="21"/>
              </w:rPr>
            </w:pPr>
            <w:r>
              <w:rPr>
                <w:rFonts w:hint="eastAsia" w:ascii="宋体" w:hAnsi="宋体" w:eastAsia="宋体" w:cs="宋体"/>
                <w:sz w:val="21"/>
                <w:szCs w:val="21"/>
              </w:rPr>
              <w:t>1.每盒/袋净含量：90g~110g，有原味、巧克力多种口味，开袋即食；</w:t>
            </w:r>
          </w:p>
          <w:p w14:paraId="6C5FB99F">
            <w:pPr>
              <w:pStyle w:val="172"/>
              <w:jc w:val="left"/>
              <w:rPr>
                <w:rFonts w:hint="eastAsia" w:ascii="宋体" w:hAnsi="宋体" w:eastAsia="宋体" w:cs="宋体"/>
                <w:sz w:val="21"/>
                <w:szCs w:val="21"/>
              </w:rPr>
            </w:pPr>
            <w:r>
              <w:rPr>
                <w:rFonts w:hint="eastAsia" w:ascii="宋体" w:hAnsi="宋体" w:eastAsia="宋体" w:cs="宋体"/>
                <w:sz w:val="21"/>
                <w:szCs w:val="21"/>
              </w:rPr>
              <w:t>2.外形完整，边缘整齐，夹心饼干不错位，不脱片，饼干表面应符合饼干单片要求，夹心层厚薄基本均匀，夹心或注心料无明显外溢，口感酥松或松脆；具有产品应有的正常色泽，符合产品所调制的香味，无异味，无霉变，无生虫；无正常视力可见的外来异物；</w:t>
            </w:r>
            <w:r>
              <w:rPr>
                <w:rFonts w:hint="eastAsia" w:ascii="宋体" w:hAnsi="宋体" w:eastAsia="宋体" w:cs="宋体"/>
                <w:sz w:val="21"/>
                <w:szCs w:val="21"/>
              </w:rPr>
              <w:br w:type="textWrapping"/>
            </w:r>
            <w:r>
              <w:rPr>
                <w:rFonts w:hint="eastAsia" w:ascii="宋体" w:hAnsi="宋体" w:eastAsia="宋体" w:cs="宋体"/>
                <w:sz w:val="21"/>
                <w:szCs w:val="21"/>
              </w:rPr>
              <w:t xml:space="preserve"> 3.满足GB/T20980-2021《饼干质量通则》标准规定。</w:t>
            </w:r>
          </w:p>
        </w:tc>
        <w:tc>
          <w:tcPr>
            <w:tcW w:w="1033" w:type="dxa"/>
            <w:tcMar>
              <w:top w:w="0" w:type="dxa"/>
              <w:left w:w="105" w:type="dxa"/>
              <w:bottom w:w="0" w:type="dxa"/>
              <w:right w:w="105" w:type="dxa"/>
            </w:tcMar>
            <w:vAlign w:val="top"/>
          </w:tcPr>
          <w:p w14:paraId="1D1E7C9E">
            <w:pPr>
              <w:pStyle w:val="172"/>
              <w:jc w:val="center"/>
              <w:rPr>
                <w:rFonts w:hint="eastAsia" w:ascii="宋体" w:hAnsi="宋体" w:eastAsia="宋体" w:cs="宋体"/>
                <w:sz w:val="21"/>
                <w:szCs w:val="21"/>
              </w:rPr>
            </w:pPr>
            <w:r>
              <w:rPr>
                <w:rFonts w:hint="eastAsia" w:ascii="宋体" w:hAnsi="宋体" w:eastAsia="宋体" w:cs="宋体"/>
                <w:sz w:val="21"/>
                <w:szCs w:val="21"/>
              </w:rPr>
              <w:t>6.00</w:t>
            </w:r>
          </w:p>
        </w:tc>
        <w:tc>
          <w:tcPr>
            <w:tcW w:w="1373" w:type="dxa"/>
            <w:tcMar>
              <w:top w:w="0" w:type="dxa"/>
              <w:left w:w="105" w:type="dxa"/>
              <w:bottom w:w="0" w:type="dxa"/>
              <w:right w:w="105" w:type="dxa"/>
            </w:tcMar>
            <w:vAlign w:val="top"/>
          </w:tcPr>
          <w:p w14:paraId="30B06114">
            <w:pPr>
              <w:pStyle w:val="172"/>
              <w:jc w:val="center"/>
              <w:rPr>
                <w:rFonts w:hint="eastAsia" w:ascii="宋体" w:hAnsi="宋体" w:eastAsia="宋体" w:cs="宋体"/>
                <w:sz w:val="21"/>
                <w:szCs w:val="21"/>
              </w:rPr>
            </w:pPr>
            <w:r>
              <w:rPr>
                <w:rFonts w:hint="eastAsia" w:ascii="宋体" w:hAnsi="宋体" w:eastAsia="宋体" w:cs="宋体"/>
                <w:sz w:val="21"/>
                <w:szCs w:val="21"/>
              </w:rPr>
              <w:t>盒（袋）</w:t>
            </w:r>
          </w:p>
        </w:tc>
      </w:tr>
      <w:tr w14:paraId="141A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434" w:type="dxa"/>
            <w:tcMar>
              <w:top w:w="0" w:type="dxa"/>
              <w:left w:w="105" w:type="dxa"/>
              <w:bottom w:w="0" w:type="dxa"/>
              <w:right w:w="105" w:type="dxa"/>
            </w:tcMar>
            <w:vAlign w:val="top"/>
          </w:tcPr>
          <w:p w14:paraId="41FF2B7A">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760" w:type="dxa"/>
            <w:tcMar>
              <w:top w:w="0" w:type="dxa"/>
              <w:left w:w="105" w:type="dxa"/>
              <w:bottom w:w="0" w:type="dxa"/>
              <w:right w:w="105" w:type="dxa"/>
            </w:tcMar>
            <w:vAlign w:val="top"/>
          </w:tcPr>
          <w:p w14:paraId="094146DD">
            <w:pPr>
              <w:pStyle w:val="172"/>
              <w:jc w:val="center"/>
              <w:rPr>
                <w:rFonts w:hint="eastAsia" w:ascii="宋体" w:hAnsi="宋体" w:eastAsia="宋体" w:cs="宋体"/>
                <w:sz w:val="21"/>
                <w:szCs w:val="21"/>
              </w:rPr>
            </w:pPr>
            <w:r>
              <w:rPr>
                <w:rFonts w:hint="eastAsia" w:ascii="宋体" w:hAnsi="宋体" w:eastAsia="宋体" w:cs="宋体"/>
                <w:b/>
                <w:sz w:val="21"/>
                <w:szCs w:val="21"/>
              </w:rPr>
              <w:t>软式面包</w:t>
            </w:r>
          </w:p>
        </w:tc>
        <w:tc>
          <w:tcPr>
            <w:tcW w:w="2759" w:type="dxa"/>
          </w:tcPr>
          <w:p w14:paraId="67AE2818">
            <w:pPr>
              <w:pStyle w:val="172"/>
              <w:jc w:val="left"/>
              <w:rPr>
                <w:rFonts w:hint="eastAsia" w:ascii="宋体" w:hAnsi="宋体" w:eastAsia="宋体" w:cs="宋体"/>
                <w:sz w:val="21"/>
                <w:szCs w:val="21"/>
              </w:rPr>
            </w:pPr>
            <w:r>
              <w:rPr>
                <w:rFonts w:hint="eastAsia" w:ascii="宋体" w:hAnsi="宋体" w:eastAsia="宋体" w:cs="宋体"/>
                <w:sz w:val="21"/>
                <w:szCs w:val="21"/>
              </w:rPr>
              <w:t>1.每盒/袋净含量：70g~110g；</w:t>
            </w:r>
          </w:p>
          <w:p w14:paraId="5DABA3DF">
            <w:pPr>
              <w:pStyle w:val="172"/>
              <w:jc w:val="left"/>
              <w:rPr>
                <w:rFonts w:hint="eastAsia" w:ascii="宋体" w:hAnsi="宋体" w:eastAsia="宋体" w:cs="宋体"/>
                <w:sz w:val="21"/>
                <w:szCs w:val="21"/>
              </w:rPr>
            </w:pPr>
            <w:r>
              <w:rPr>
                <w:rFonts w:hint="eastAsia" w:ascii="宋体" w:hAnsi="宋体" w:eastAsia="宋体" w:cs="宋体"/>
                <w:sz w:val="21"/>
                <w:szCs w:val="21"/>
              </w:rPr>
              <w:t>2.产品完整，饱满，具有产品应有的形态、色泽，细腻，有弹性，气孔较均匀；具有发酵和熟制后的面包香味，松软适口，无异味；正常视力范围内无可见的外来异物；</w:t>
            </w:r>
          </w:p>
          <w:p w14:paraId="4D888B2F">
            <w:pPr>
              <w:pStyle w:val="172"/>
              <w:jc w:val="left"/>
              <w:rPr>
                <w:rFonts w:hint="eastAsia" w:ascii="宋体" w:hAnsi="宋体" w:eastAsia="宋体" w:cs="宋体"/>
                <w:sz w:val="21"/>
                <w:szCs w:val="21"/>
              </w:rPr>
            </w:pPr>
            <w:r>
              <w:rPr>
                <w:rFonts w:hint="eastAsia" w:ascii="宋体" w:hAnsi="宋体" w:eastAsia="宋体" w:cs="宋体"/>
                <w:sz w:val="21"/>
                <w:szCs w:val="21"/>
              </w:rPr>
              <w:t>3.满足GB/T 20981-2021《面包质量通则》标准规定。</w:t>
            </w:r>
          </w:p>
        </w:tc>
        <w:tc>
          <w:tcPr>
            <w:tcW w:w="1033" w:type="dxa"/>
            <w:tcMar>
              <w:top w:w="0" w:type="dxa"/>
              <w:left w:w="105" w:type="dxa"/>
              <w:bottom w:w="0" w:type="dxa"/>
              <w:right w:w="105" w:type="dxa"/>
            </w:tcMar>
            <w:vAlign w:val="top"/>
          </w:tcPr>
          <w:p w14:paraId="27851599">
            <w:pPr>
              <w:pStyle w:val="172"/>
              <w:jc w:val="center"/>
              <w:rPr>
                <w:rFonts w:hint="eastAsia" w:ascii="宋体" w:hAnsi="宋体" w:eastAsia="宋体" w:cs="宋体"/>
                <w:sz w:val="21"/>
                <w:szCs w:val="21"/>
              </w:rPr>
            </w:pPr>
            <w:r>
              <w:rPr>
                <w:rFonts w:hint="eastAsia" w:ascii="宋体" w:hAnsi="宋体" w:eastAsia="宋体" w:cs="宋体"/>
                <w:sz w:val="21"/>
                <w:szCs w:val="21"/>
              </w:rPr>
              <w:t>3.60</w:t>
            </w:r>
          </w:p>
        </w:tc>
        <w:tc>
          <w:tcPr>
            <w:tcW w:w="1373" w:type="dxa"/>
            <w:tcMar>
              <w:top w:w="0" w:type="dxa"/>
              <w:left w:w="105" w:type="dxa"/>
              <w:bottom w:w="0" w:type="dxa"/>
              <w:right w:w="105" w:type="dxa"/>
            </w:tcMar>
            <w:vAlign w:val="top"/>
          </w:tcPr>
          <w:p w14:paraId="3B0C3E86">
            <w:pPr>
              <w:pStyle w:val="172"/>
              <w:jc w:val="center"/>
              <w:rPr>
                <w:rFonts w:hint="eastAsia" w:ascii="宋体" w:hAnsi="宋体" w:eastAsia="宋体" w:cs="宋体"/>
                <w:sz w:val="21"/>
                <w:szCs w:val="21"/>
              </w:rPr>
            </w:pPr>
            <w:r>
              <w:rPr>
                <w:rFonts w:hint="eastAsia" w:ascii="宋体" w:hAnsi="宋体" w:eastAsia="宋体" w:cs="宋体"/>
                <w:sz w:val="21"/>
                <w:szCs w:val="21"/>
              </w:rPr>
              <w:t>盒（袋）</w:t>
            </w:r>
          </w:p>
        </w:tc>
      </w:tr>
      <w:tr w14:paraId="14CC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1434" w:type="dxa"/>
            <w:tcMar>
              <w:top w:w="0" w:type="dxa"/>
              <w:left w:w="105" w:type="dxa"/>
              <w:bottom w:w="0" w:type="dxa"/>
              <w:right w:w="105" w:type="dxa"/>
            </w:tcMar>
            <w:vAlign w:val="top"/>
          </w:tcPr>
          <w:p w14:paraId="7B30CBC4">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760" w:type="dxa"/>
            <w:tcMar>
              <w:top w:w="0" w:type="dxa"/>
              <w:left w:w="105" w:type="dxa"/>
              <w:bottom w:w="0" w:type="dxa"/>
              <w:right w:w="105" w:type="dxa"/>
            </w:tcMar>
            <w:vAlign w:val="top"/>
          </w:tcPr>
          <w:p w14:paraId="21D5B0FC">
            <w:pPr>
              <w:pStyle w:val="172"/>
              <w:jc w:val="center"/>
              <w:rPr>
                <w:rFonts w:hint="eastAsia" w:ascii="宋体" w:hAnsi="宋体" w:eastAsia="宋体" w:cs="宋体"/>
                <w:sz w:val="21"/>
                <w:szCs w:val="21"/>
              </w:rPr>
            </w:pPr>
            <w:r>
              <w:rPr>
                <w:rFonts w:hint="eastAsia" w:ascii="宋体" w:hAnsi="宋体" w:eastAsia="宋体" w:cs="宋体"/>
                <w:b/>
                <w:sz w:val="21"/>
                <w:szCs w:val="21"/>
              </w:rPr>
              <w:t>曲奇饼干</w:t>
            </w:r>
          </w:p>
        </w:tc>
        <w:tc>
          <w:tcPr>
            <w:tcW w:w="2759" w:type="dxa"/>
          </w:tcPr>
          <w:p w14:paraId="3677663E">
            <w:pPr>
              <w:pStyle w:val="172"/>
              <w:jc w:val="left"/>
              <w:rPr>
                <w:rFonts w:hint="eastAsia" w:ascii="宋体" w:hAnsi="宋体" w:eastAsia="宋体" w:cs="宋体"/>
                <w:sz w:val="21"/>
                <w:szCs w:val="21"/>
              </w:rPr>
            </w:pPr>
            <w:r>
              <w:rPr>
                <w:rFonts w:hint="eastAsia" w:ascii="宋体" w:hAnsi="宋体" w:eastAsia="宋体" w:cs="宋体"/>
                <w:sz w:val="21"/>
                <w:szCs w:val="21"/>
              </w:rPr>
              <w:t>1.每盒/袋净含量：80g~90g，多种口味（两种及以上），开袋即食；</w:t>
            </w:r>
          </w:p>
          <w:p w14:paraId="53A6E2EC">
            <w:pPr>
              <w:pStyle w:val="172"/>
              <w:jc w:val="left"/>
              <w:rPr>
                <w:rFonts w:hint="eastAsia" w:ascii="宋体" w:hAnsi="宋体" w:eastAsia="宋体" w:cs="宋体"/>
                <w:sz w:val="21"/>
                <w:szCs w:val="21"/>
              </w:rPr>
            </w:pPr>
            <w:r>
              <w:rPr>
                <w:rFonts w:hint="eastAsia" w:ascii="宋体" w:hAnsi="宋体" w:eastAsia="宋体" w:cs="宋体"/>
                <w:sz w:val="21"/>
                <w:szCs w:val="21"/>
              </w:rPr>
              <w:t>2.外形完整，花纹（或波纹）同一造型大小基本均匀，饼体摊散适度，五连边，产品断面结构呈细密的多孔状，无较大孔洞；具有产品应有的色泽及香味，产品无异味，口感酥松或松脆，无霉变，无生虫；无正常视力可见的外来异物；</w:t>
            </w:r>
          </w:p>
          <w:p w14:paraId="14134109">
            <w:pPr>
              <w:pStyle w:val="172"/>
              <w:jc w:val="left"/>
              <w:rPr>
                <w:rFonts w:hint="eastAsia" w:ascii="宋体" w:hAnsi="宋体" w:eastAsia="宋体" w:cs="宋体"/>
                <w:sz w:val="21"/>
                <w:szCs w:val="21"/>
              </w:rPr>
            </w:pPr>
            <w:r>
              <w:rPr>
                <w:rFonts w:hint="eastAsia" w:ascii="宋体" w:hAnsi="宋体" w:eastAsia="宋体" w:cs="宋体"/>
                <w:sz w:val="21"/>
                <w:szCs w:val="21"/>
              </w:rPr>
              <w:t>3.满足GB/T 20980-2021《饼干质量通则》标准规定。</w:t>
            </w:r>
          </w:p>
        </w:tc>
        <w:tc>
          <w:tcPr>
            <w:tcW w:w="1033" w:type="dxa"/>
            <w:tcMar>
              <w:top w:w="0" w:type="dxa"/>
              <w:left w:w="105" w:type="dxa"/>
              <w:bottom w:w="0" w:type="dxa"/>
              <w:right w:w="105" w:type="dxa"/>
            </w:tcMar>
            <w:vAlign w:val="top"/>
          </w:tcPr>
          <w:p w14:paraId="27F78A65">
            <w:pPr>
              <w:pStyle w:val="172"/>
              <w:jc w:val="center"/>
              <w:rPr>
                <w:rFonts w:hint="eastAsia" w:ascii="宋体" w:hAnsi="宋体" w:eastAsia="宋体" w:cs="宋体"/>
                <w:sz w:val="21"/>
                <w:szCs w:val="21"/>
              </w:rPr>
            </w:pPr>
            <w:r>
              <w:rPr>
                <w:rFonts w:hint="eastAsia" w:ascii="宋体" w:hAnsi="宋体" w:eastAsia="宋体" w:cs="宋体"/>
                <w:sz w:val="21"/>
                <w:szCs w:val="21"/>
              </w:rPr>
              <w:t>6.40</w:t>
            </w:r>
          </w:p>
        </w:tc>
        <w:tc>
          <w:tcPr>
            <w:tcW w:w="1373" w:type="dxa"/>
            <w:tcMar>
              <w:top w:w="0" w:type="dxa"/>
              <w:left w:w="105" w:type="dxa"/>
              <w:bottom w:w="0" w:type="dxa"/>
              <w:right w:w="105" w:type="dxa"/>
            </w:tcMar>
            <w:vAlign w:val="top"/>
          </w:tcPr>
          <w:p w14:paraId="39C72AF2">
            <w:pPr>
              <w:pStyle w:val="172"/>
              <w:jc w:val="center"/>
              <w:rPr>
                <w:rFonts w:hint="eastAsia" w:ascii="宋体" w:hAnsi="宋体" w:eastAsia="宋体" w:cs="宋体"/>
                <w:sz w:val="21"/>
                <w:szCs w:val="21"/>
              </w:rPr>
            </w:pPr>
            <w:r>
              <w:rPr>
                <w:rFonts w:hint="eastAsia" w:ascii="宋体" w:hAnsi="宋体" w:eastAsia="宋体" w:cs="宋体"/>
                <w:sz w:val="21"/>
                <w:szCs w:val="21"/>
              </w:rPr>
              <w:t>盒（袋）</w:t>
            </w:r>
          </w:p>
        </w:tc>
      </w:tr>
      <w:tr w14:paraId="0298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1434" w:type="dxa"/>
            <w:tcMar>
              <w:top w:w="0" w:type="dxa"/>
              <w:left w:w="105" w:type="dxa"/>
              <w:bottom w:w="0" w:type="dxa"/>
              <w:right w:w="105" w:type="dxa"/>
            </w:tcMar>
            <w:vAlign w:val="top"/>
          </w:tcPr>
          <w:p w14:paraId="0B0FC15B">
            <w:pPr>
              <w:pStyle w:val="172"/>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p>
        </w:tc>
        <w:tc>
          <w:tcPr>
            <w:tcW w:w="760" w:type="dxa"/>
            <w:tcMar>
              <w:top w:w="0" w:type="dxa"/>
              <w:left w:w="105" w:type="dxa"/>
              <w:bottom w:w="0" w:type="dxa"/>
              <w:right w:w="105" w:type="dxa"/>
            </w:tcMar>
            <w:vAlign w:val="top"/>
          </w:tcPr>
          <w:p w14:paraId="0E6DDA91">
            <w:pPr>
              <w:pStyle w:val="172"/>
              <w:jc w:val="center"/>
              <w:rPr>
                <w:rFonts w:hint="eastAsia" w:ascii="宋体" w:hAnsi="宋体" w:eastAsia="宋体" w:cs="宋体"/>
                <w:sz w:val="21"/>
                <w:szCs w:val="21"/>
              </w:rPr>
            </w:pPr>
            <w:r>
              <w:rPr>
                <w:rFonts w:hint="eastAsia" w:ascii="宋体" w:hAnsi="宋体" w:eastAsia="宋体" w:cs="宋体"/>
                <w:b/>
                <w:sz w:val="21"/>
                <w:szCs w:val="21"/>
              </w:rPr>
              <w:t>薯片</w:t>
            </w:r>
          </w:p>
        </w:tc>
        <w:tc>
          <w:tcPr>
            <w:tcW w:w="2759" w:type="dxa"/>
          </w:tcPr>
          <w:p w14:paraId="7DD3B722">
            <w:pPr>
              <w:pStyle w:val="172"/>
              <w:jc w:val="left"/>
              <w:rPr>
                <w:rFonts w:hint="eastAsia" w:ascii="宋体" w:hAnsi="宋体" w:eastAsia="宋体" w:cs="宋体"/>
                <w:sz w:val="21"/>
                <w:szCs w:val="21"/>
              </w:rPr>
            </w:pPr>
            <w:r>
              <w:rPr>
                <w:rFonts w:hint="eastAsia" w:ascii="宋体" w:hAnsi="宋体" w:eastAsia="宋体" w:cs="宋体"/>
                <w:sz w:val="21"/>
                <w:szCs w:val="21"/>
              </w:rPr>
              <w:t>1.每盒/袋净含量：20g~40g，多种口味（两种及以上），开袋即食；</w:t>
            </w:r>
          </w:p>
          <w:p w14:paraId="3514E510">
            <w:pPr>
              <w:pStyle w:val="172"/>
              <w:jc w:val="left"/>
              <w:rPr>
                <w:rFonts w:hint="eastAsia" w:ascii="宋体" w:hAnsi="宋体" w:eastAsia="宋体" w:cs="宋体"/>
                <w:sz w:val="21"/>
                <w:szCs w:val="21"/>
              </w:rPr>
            </w:pPr>
            <w:r>
              <w:rPr>
                <w:rFonts w:hint="eastAsia" w:ascii="宋体" w:hAnsi="宋体" w:eastAsia="宋体" w:cs="宋体"/>
                <w:sz w:val="21"/>
                <w:szCs w:val="21"/>
              </w:rPr>
              <w:t>2.形状基本完整，允许有部分碎片，碎条或碎块。具有产品应有的色泽；</w:t>
            </w:r>
          </w:p>
          <w:p w14:paraId="6E325BA2">
            <w:pPr>
              <w:pStyle w:val="172"/>
              <w:jc w:val="left"/>
              <w:rPr>
                <w:rFonts w:hint="eastAsia" w:ascii="宋体" w:hAnsi="宋体" w:eastAsia="宋体" w:cs="宋体"/>
                <w:sz w:val="21"/>
                <w:szCs w:val="21"/>
              </w:rPr>
            </w:pPr>
            <w:r>
              <w:rPr>
                <w:rFonts w:hint="eastAsia" w:ascii="宋体" w:hAnsi="宋体" w:eastAsia="宋体" w:cs="宋体"/>
                <w:sz w:val="21"/>
                <w:szCs w:val="21"/>
              </w:rPr>
              <w:t>3.具有马铃薯经过加工后应有的滋味，无焦苦味、哈喇味或其他异味。具有产品特有的疏松或松脆的口感；色泽正常，滋味正常，无正常视力可见的外来异物；</w:t>
            </w:r>
          </w:p>
          <w:p w14:paraId="0A502A3C">
            <w:pPr>
              <w:pStyle w:val="172"/>
              <w:jc w:val="left"/>
              <w:rPr>
                <w:rFonts w:hint="eastAsia" w:ascii="宋体" w:hAnsi="宋体" w:eastAsia="宋体" w:cs="宋体"/>
                <w:sz w:val="21"/>
                <w:szCs w:val="21"/>
              </w:rPr>
            </w:pPr>
            <w:r>
              <w:rPr>
                <w:rFonts w:hint="eastAsia" w:ascii="宋体" w:hAnsi="宋体" w:eastAsia="宋体" w:cs="宋体"/>
                <w:sz w:val="21"/>
                <w:szCs w:val="21"/>
              </w:rPr>
              <w:t>4.满足GB 17401-2014《食品安全国家标准 膨化食品》标准规定。</w:t>
            </w:r>
          </w:p>
        </w:tc>
        <w:tc>
          <w:tcPr>
            <w:tcW w:w="1033" w:type="dxa"/>
            <w:tcMar>
              <w:top w:w="0" w:type="dxa"/>
              <w:left w:w="105" w:type="dxa"/>
              <w:bottom w:w="0" w:type="dxa"/>
              <w:right w:w="105" w:type="dxa"/>
            </w:tcMar>
            <w:vAlign w:val="top"/>
          </w:tcPr>
          <w:p w14:paraId="591E1103">
            <w:pPr>
              <w:pStyle w:val="172"/>
              <w:jc w:val="center"/>
              <w:rPr>
                <w:rFonts w:hint="eastAsia" w:ascii="宋体" w:hAnsi="宋体" w:eastAsia="宋体" w:cs="宋体"/>
                <w:sz w:val="21"/>
                <w:szCs w:val="21"/>
              </w:rPr>
            </w:pPr>
            <w:r>
              <w:rPr>
                <w:rFonts w:hint="eastAsia" w:ascii="宋体" w:hAnsi="宋体" w:eastAsia="宋体" w:cs="宋体"/>
                <w:sz w:val="21"/>
                <w:szCs w:val="21"/>
              </w:rPr>
              <w:t>2.50</w:t>
            </w:r>
          </w:p>
        </w:tc>
        <w:tc>
          <w:tcPr>
            <w:tcW w:w="1373" w:type="dxa"/>
            <w:tcMar>
              <w:top w:w="0" w:type="dxa"/>
              <w:left w:w="105" w:type="dxa"/>
              <w:bottom w:w="0" w:type="dxa"/>
              <w:right w:w="105" w:type="dxa"/>
            </w:tcMar>
            <w:vAlign w:val="top"/>
          </w:tcPr>
          <w:p w14:paraId="46C7F0D1">
            <w:pPr>
              <w:pStyle w:val="172"/>
              <w:jc w:val="center"/>
              <w:rPr>
                <w:rFonts w:hint="eastAsia" w:ascii="宋体" w:hAnsi="宋体" w:eastAsia="宋体" w:cs="宋体"/>
                <w:sz w:val="21"/>
                <w:szCs w:val="21"/>
              </w:rPr>
            </w:pPr>
            <w:r>
              <w:rPr>
                <w:rFonts w:hint="eastAsia" w:ascii="宋体" w:hAnsi="宋体" w:eastAsia="宋体" w:cs="宋体"/>
                <w:sz w:val="21"/>
                <w:szCs w:val="21"/>
              </w:rPr>
              <w:t>盒（袋）</w:t>
            </w:r>
          </w:p>
        </w:tc>
      </w:tr>
      <w:tr w14:paraId="1F07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441B26E0">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760" w:type="dxa"/>
            <w:shd w:val="clear" w:color="auto" w:fill="auto"/>
            <w:tcMar>
              <w:top w:w="0" w:type="dxa"/>
              <w:left w:w="105" w:type="dxa"/>
              <w:bottom w:w="0" w:type="dxa"/>
              <w:right w:w="105" w:type="dxa"/>
            </w:tcMar>
            <w:vAlign w:val="top"/>
          </w:tcPr>
          <w:p w14:paraId="6FC8A3EA">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干拌面</w:t>
            </w:r>
          </w:p>
        </w:tc>
        <w:tc>
          <w:tcPr>
            <w:tcW w:w="2759" w:type="dxa"/>
          </w:tcPr>
          <w:p w14:paraId="1D5BC6B5">
            <w:pPr>
              <w:pStyle w:val="172"/>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净含量</w:t>
            </w:r>
            <w:r>
              <w:rPr>
                <w:rFonts w:hint="eastAsia" w:ascii="宋体" w:hAnsi="宋体" w:eastAsia="宋体" w:cs="宋体"/>
                <w:sz w:val="21"/>
                <w:szCs w:val="21"/>
              </w:rPr>
              <w:t>：</w:t>
            </w:r>
            <w:r>
              <w:rPr>
                <w:rFonts w:hint="eastAsia" w:ascii="宋体" w:hAnsi="宋体" w:eastAsia="宋体" w:cs="宋体"/>
                <w:sz w:val="21"/>
                <w:szCs w:val="21"/>
                <w:lang w:val="en-US" w:eastAsia="zh-CN"/>
              </w:rPr>
              <w:t>120</w:t>
            </w:r>
            <w:r>
              <w:rPr>
                <w:rFonts w:hint="eastAsia" w:ascii="宋体" w:hAnsi="宋体" w:eastAsia="宋体" w:cs="宋体"/>
                <w:sz w:val="21"/>
                <w:szCs w:val="21"/>
              </w:rPr>
              <w:t>g~</w:t>
            </w:r>
            <w:r>
              <w:rPr>
                <w:rFonts w:hint="eastAsia" w:ascii="宋体" w:hAnsi="宋体" w:eastAsia="宋体" w:cs="宋体"/>
                <w:sz w:val="21"/>
                <w:szCs w:val="21"/>
                <w:lang w:val="en-US" w:eastAsia="zh-CN"/>
              </w:rPr>
              <w:t>140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75461C79">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37DCE22F">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59060BD6">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5.10</w:t>
            </w:r>
          </w:p>
        </w:tc>
        <w:tc>
          <w:tcPr>
            <w:tcW w:w="1373" w:type="dxa"/>
            <w:tcMar>
              <w:top w:w="0" w:type="dxa"/>
              <w:left w:w="105" w:type="dxa"/>
              <w:bottom w:w="0" w:type="dxa"/>
              <w:right w:w="105" w:type="dxa"/>
            </w:tcMar>
            <w:vAlign w:val="top"/>
          </w:tcPr>
          <w:p w14:paraId="5DA9D28C">
            <w:pPr>
              <w:pStyle w:val="172"/>
              <w:jc w:val="center"/>
              <w:rPr>
                <w:rFonts w:hint="eastAsia" w:ascii="宋体" w:hAnsi="宋体" w:eastAsia="宋体" w:cs="宋体"/>
                <w:sz w:val="21"/>
                <w:szCs w:val="21"/>
              </w:rPr>
            </w:pPr>
            <w:r>
              <w:rPr>
                <w:rFonts w:hint="eastAsia" w:ascii="宋体" w:hAnsi="宋体" w:eastAsia="宋体" w:cs="宋体"/>
                <w:sz w:val="21"/>
                <w:szCs w:val="21"/>
              </w:rPr>
              <w:t>盒</w:t>
            </w:r>
          </w:p>
        </w:tc>
      </w:tr>
      <w:tr w14:paraId="56D0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555299D1">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760" w:type="dxa"/>
            <w:shd w:val="clear" w:color="auto" w:fill="auto"/>
            <w:tcMar>
              <w:top w:w="0" w:type="dxa"/>
              <w:left w:w="105" w:type="dxa"/>
              <w:bottom w:w="0" w:type="dxa"/>
              <w:right w:w="105" w:type="dxa"/>
            </w:tcMar>
            <w:vAlign w:val="top"/>
          </w:tcPr>
          <w:p w14:paraId="35FED6F6">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开心桶</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面</w:t>
            </w:r>
            <w:r>
              <w:rPr>
                <w:rFonts w:hint="eastAsia" w:ascii="宋体" w:hAnsi="宋体" w:eastAsia="宋体" w:cs="宋体"/>
                <w:color w:val="000000"/>
                <w:sz w:val="22"/>
                <w:lang w:eastAsia="zh-CN"/>
              </w:rPr>
              <w:t>）</w:t>
            </w:r>
          </w:p>
        </w:tc>
        <w:tc>
          <w:tcPr>
            <w:tcW w:w="2759" w:type="dxa"/>
          </w:tcPr>
          <w:p w14:paraId="28CBA909">
            <w:pPr>
              <w:pStyle w:val="172"/>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净含量</w:t>
            </w:r>
            <w:r>
              <w:rPr>
                <w:rFonts w:hint="eastAsia" w:ascii="宋体" w:hAnsi="宋体" w:eastAsia="宋体" w:cs="宋体"/>
                <w:sz w:val="21"/>
                <w:szCs w:val="21"/>
              </w:rPr>
              <w:t>：</w:t>
            </w:r>
            <w:r>
              <w:rPr>
                <w:rFonts w:hint="eastAsia" w:ascii="宋体" w:hAnsi="宋体" w:eastAsia="宋体" w:cs="宋体"/>
                <w:sz w:val="21"/>
                <w:szCs w:val="21"/>
                <w:lang w:val="en-US" w:eastAsia="zh-CN"/>
              </w:rPr>
              <w:t>100</w:t>
            </w:r>
            <w:r>
              <w:rPr>
                <w:rFonts w:hint="eastAsia" w:ascii="宋体" w:hAnsi="宋体" w:eastAsia="宋体" w:cs="宋体"/>
                <w:sz w:val="21"/>
                <w:szCs w:val="21"/>
              </w:rPr>
              <w:t>g~</w:t>
            </w:r>
            <w:r>
              <w:rPr>
                <w:rFonts w:hint="eastAsia" w:ascii="宋体" w:hAnsi="宋体" w:eastAsia="宋体" w:cs="宋体"/>
                <w:sz w:val="21"/>
                <w:szCs w:val="21"/>
                <w:lang w:val="en-US" w:eastAsia="zh-CN"/>
              </w:rPr>
              <w:t>110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5B06B8F5">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314CC057">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65AD94F6">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3.50</w:t>
            </w:r>
          </w:p>
        </w:tc>
        <w:tc>
          <w:tcPr>
            <w:tcW w:w="1373" w:type="dxa"/>
            <w:tcMar>
              <w:top w:w="0" w:type="dxa"/>
              <w:left w:w="105" w:type="dxa"/>
              <w:bottom w:w="0" w:type="dxa"/>
              <w:right w:w="105" w:type="dxa"/>
            </w:tcMar>
            <w:vAlign w:val="top"/>
          </w:tcPr>
          <w:p w14:paraId="3B58119C">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桶</w:t>
            </w:r>
          </w:p>
        </w:tc>
      </w:tr>
      <w:tr w14:paraId="196D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1CF4F3C3">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760" w:type="dxa"/>
            <w:shd w:val="clear" w:color="auto" w:fill="auto"/>
            <w:tcMar>
              <w:top w:w="0" w:type="dxa"/>
              <w:left w:w="105" w:type="dxa"/>
              <w:bottom w:w="0" w:type="dxa"/>
              <w:right w:w="105" w:type="dxa"/>
            </w:tcMar>
            <w:vAlign w:val="top"/>
          </w:tcPr>
          <w:p w14:paraId="14F20605">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经典袋</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面</w:t>
            </w:r>
            <w:r>
              <w:rPr>
                <w:rFonts w:hint="eastAsia" w:ascii="宋体" w:hAnsi="宋体" w:eastAsia="宋体" w:cs="宋体"/>
                <w:color w:val="000000"/>
                <w:sz w:val="22"/>
                <w:lang w:eastAsia="zh-CN"/>
              </w:rPr>
              <w:t>）</w:t>
            </w:r>
            <w:r>
              <w:rPr>
                <w:rFonts w:ascii="宋体" w:hAnsi="宋体" w:eastAsia="宋体" w:cs="宋体"/>
                <w:color w:val="000000"/>
                <w:sz w:val="22"/>
              </w:rPr>
              <w:t>85g</w:t>
            </w:r>
          </w:p>
        </w:tc>
        <w:tc>
          <w:tcPr>
            <w:tcW w:w="2759" w:type="dxa"/>
          </w:tcPr>
          <w:p w14:paraId="7CED8206">
            <w:pPr>
              <w:pStyle w:val="172"/>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净含量</w:t>
            </w:r>
            <w:r>
              <w:rPr>
                <w:rFonts w:hint="eastAsia" w:ascii="宋体" w:hAnsi="宋体" w:eastAsia="宋体" w:cs="宋体"/>
                <w:sz w:val="21"/>
                <w:szCs w:val="21"/>
              </w:rPr>
              <w:t>：</w:t>
            </w:r>
            <w:r>
              <w:rPr>
                <w:rFonts w:hint="eastAsia" w:ascii="宋体" w:hAnsi="宋体" w:eastAsia="宋体" w:cs="宋体"/>
                <w:sz w:val="21"/>
                <w:szCs w:val="21"/>
                <w:lang w:val="en-US" w:eastAsia="zh-CN"/>
              </w:rPr>
              <w:t>80</w:t>
            </w:r>
            <w:r>
              <w:rPr>
                <w:rFonts w:hint="eastAsia" w:ascii="宋体" w:hAnsi="宋体" w:eastAsia="宋体" w:cs="宋体"/>
                <w:sz w:val="21"/>
                <w:szCs w:val="21"/>
              </w:rPr>
              <w:t>g~</w:t>
            </w:r>
            <w:r>
              <w:rPr>
                <w:rFonts w:hint="eastAsia" w:ascii="宋体" w:hAnsi="宋体" w:eastAsia="宋体" w:cs="宋体"/>
                <w:sz w:val="21"/>
                <w:szCs w:val="21"/>
                <w:lang w:val="en-US" w:eastAsia="zh-CN"/>
              </w:rPr>
              <w:t>90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54901C7E">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0330C27B">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3999C2E9">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2.30</w:t>
            </w:r>
          </w:p>
        </w:tc>
        <w:tc>
          <w:tcPr>
            <w:tcW w:w="1373" w:type="dxa"/>
            <w:tcMar>
              <w:top w:w="0" w:type="dxa"/>
              <w:left w:w="105" w:type="dxa"/>
              <w:bottom w:w="0" w:type="dxa"/>
              <w:right w:w="105" w:type="dxa"/>
            </w:tcMar>
            <w:vAlign w:val="top"/>
          </w:tcPr>
          <w:p w14:paraId="7D836D9A">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袋</w:t>
            </w:r>
          </w:p>
        </w:tc>
      </w:tr>
      <w:tr w14:paraId="3F87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5CF2D3D4">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760" w:type="dxa"/>
            <w:shd w:val="clear" w:color="auto" w:fill="auto"/>
            <w:tcMar>
              <w:top w:w="0" w:type="dxa"/>
              <w:left w:w="105" w:type="dxa"/>
              <w:bottom w:w="0" w:type="dxa"/>
              <w:right w:w="105" w:type="dxa"/>
            </w:tcMar>
            <w:vAlign w:val="top"/>
          </w:tcPr>
          <w:p w14:paraId="750188F9">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大食桶</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面</w:t>
            </w:r>
            <w:r>
              <w:rPr>
                <w:rFonts w:hint="eastAsia" w:ascii="宋体" w:hAnsi="宋体" w:eastAsia="宋体" w:cs="宋体"/>
                <w:color w:val="000000"/>
                <w:sz w:val="22"/>
                <w:lang w:eastAsia="zh-CN"/>
              </w:rPr>
              <w:t>）</w:t>
            </w:r>
          </w:p>
        </w:tc>
        <w:tc>
          <w:tcPr>
            <w:tcW w:w="2759" w:type="dxa"/>
          </w:tcPr>
          <w:p w14:paraId="0824B967">
            <w:pPr>
              <w:pStyle w:val="172"/>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净含量</w:t>
            </w:r>
            <w:r>
              <w:rPr>
                <w:rFonts w:hint="eastAsia" w:ascii="宋体" w:hAnsi="宋体" w:eastAsia="宋体" w:cs="宋体"/>
                <w:sz w:val="21"/>
                <w:szCs w:val="21"/>
              </w:rPr>
              <w:t>：</w:t>
            </w:r>
            <w:r>
              <w:rPr>
                <w:rFonts w:hint="eastAsia" w:ascii="宋体" w:hAnsi="宋体" w:eastAsia="宋体" w:cs="宋体"/>
                <w:sz w:val="21"/>
                <w:szCs w:val="21"/>
                <w:lang w:val="en-US" w:eastAsia="zh-CN"/>
              </w:rPr>
              <w:t>140</w:t>
            </w:r>
            <w:r>
              <w:rPr>
                <w:rFonts w:hint="eastAsia" w:ascii="宋体" w:hAnsi="宋体" w:eastAsia="宋体" w:cs="宋体"/>
                <w:sz w:val="21"/>
                <w:szCs w:val="21"/>
              </w:rPr>
              <w:t>g~</w:t>
            </w:r>
            <w:r>
              <w:rPr>
                <w:rFonts w:hint="eastAsia" w:ascii="宋体" w:hAnsi="宋体" w:eastAsia="宋体" w:cs="宋体"/>
                <w:sz w:val="21"/>
                <w:szCs w:val="21"/>
                <w:lang w:val="en-US" w:eastAsia="zh-CN"/>
              </w:rPr>
              <w:t>150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5C333DAB">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5A92D2AE">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44777109">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4.50</w:t>
            </w:r>
          </w:p>
        </w:tc>
        <w:tc>
          <w:tcPr>
            <w:tcW w:w="1373" w:type="dxa"/>
            <w:tcMar>
              <w:top w:w="0" w:type="dxa"/>
              <w:left w:w="105" w:type="dxa"/>
              <w:bottom w:w="0" w:type="dxa"/>
              <w:right w:w="105" w:type="dxa"/>
            </w:tcMar>
            <w:vAlign w:val="top"/>
          </w:tcPr>
          <w:p w14:paraId="34BED58E">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桶</w:t>
            </w:r>
          </w:p>
        </w:tc>
      </w:tr>
      <w:tr w14:paraId="0B76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02E3F733">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760" w:type="dxa"/>
            <w:shd w:val="clear" w:color="auto" w:fill="auto"/>
            <w:tcMar>
              <w:top w:w="0" w:type="dxa"/>
              <w:left w:w="105" w:type="dxa"/>
              <w:bottom w:w="0" w:type="dxa"/>
              <w:right w:w="105" w:type="dxa"/>
            </w:tcMar>
            <w:vAlign w:val="top"/>
          </w:tcPr>
          <w:p w14:paraId="7BF6BBC1">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汤大师杯</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面</w:t>
            </w:r>
            <w:r>
              <w:rPr>
                <w:rFonts w:hint="eastAsia" w:ascii="宋体" w:hAnsi="宋体" w:eastAsia="宋体" w:cs="宋体"/>
                <w:color w:val="000000"/>
                <w:sz w:val="22"/>
                <w:lang w:eastAsia="zh-CN"/>
              </w:rPr>
              <w:t>）</w:t>
            </w:r>
          </w:p>
        </w:tc>
        <w:tc>
          <w:tcPr>
            <w:tcW w:w="2759" w:type="dxa"/>
          </w:tcPr>
          <w:p w14:paraId="23E3219F">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80</w:t>
            </w:r>
            <w:r>
              <w:rPr>
                <w:rFonts w:hint="eastAsia" w:ascii="宋体" w:hAnsi="宋体" w:eastAsia="宋体" w:cs="宋体"/>
                <w:sz w:val="21"/>
                <w:szCs w:val="21"/>
              </w:rPr>
              <w:t>g~</w:t>
            </w:r>
            <w:r>
              <w:rPr>
                <w:rFonts w:hint="eastAsia" w:ascii="宋体" w:hAnsi="宋体" w:eastAsia="宋体" w:cs="宋体"/>
                <w:sz w:val="21"/>
                <w:szCs w:val="21"/>
                <w:lang w:val="en-US" w:eastAsia="zh-CN"/>
              </w:rPr>
              <w:t>90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7BD1D87F">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017007C7">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6F0A8AEB">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4.50</w:t>
            </w:r>
          </w:p>
        </w:tc>
        <w:tc>
          <w:tcPr>
            <w:tcW w:w="1373" w:type="dxa"/>
            <w:tcMar>
              <w:top w:w="0" w:type="dxa"/>
              <w:left w:w="105" w:type="dxa"/>
              <w:bottom w:w="0" w:type="dxa"/>
              <w:right w:w="105" w:type="dxa"/>
            </w:tcMar>
            <w:vAlign w:val="top"/>
          </w:tcPr>
          <w:p w14:paraId="6083C9EA">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杯</w:t>
            </w:r>
          </w:p>
        </w:tc>
      </w:tr>
      <w:tr w14:paraId="1995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550973D5">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760" w:type="dxa"/>
            <w:shd w:val="clear" w:color="auto" w:fill="auto"/>
            <w:tcMar>
              <w:top w:w="0" w:type="dxa"/>
              <w:left w:w="105" w:type="dxa"/>
              <w:bottom w:w="0" w:type="dxa"/>
              <w:right w:w="105" w:type="dxa"/>
            </w:tcMar>
            <w:vAlign w:val="top"/>
          </w:tcPr>
          <w:p w14:paraId="6CA99806">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汤大师袋</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面</w:t>
            </w:r>
            <w:r>
              <w:rPr>
                <w:rFonts w:hint="eastAsia" w:ascii="宋体" w:hAnsi="宋体" w:eastAsia="宋体" w:cs="宋体"/>
                <w:color w:val="000000"/>
                <w:sz w:val="22"/>
                <w:lang w:eastAsia="zh-CN"/>
              </w:rPr>
              <w:t>）</w:t>
            </w:r>
          </w:p>
        </w:tc>
        <w:tc>
          <w:tcPr>
            <w:tcW w:w="2759" w:type="dxa"/>
          </w:tcPr>
          <w:p w14:paraId="49576DCD">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80</w:t>
            </w:r>
            <w:r>
              <w:rPr>
                <w:rFonts w:hint="eastAsia" w:ascii="宋体" w:hAnsi="宋体" w:eastAsia="宋体" w:cs="宋体"/>
                <w:sz w:val="21"/>
                <w:szCs w:val="21"/>
              </w:rPr>
              <w:t>g~</w:t>
            </w:r>
            <w:r>
              <w:rPr>
                <w:rFonts w:hint="eastAsia" w:ascii="宋体" w:hAnsi="宋体" w:eastAsia="宋体" w:cs="宋体"/>
                <w:sz w:val="21"/>
                <w:szCs w:val="21"/>
                <w:lang w:val="en-US" w:eastAsia="zh-CN"/>
              </w:rPr>
              <w:t>90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774A416A">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27B77CBB">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3989A58D">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3.30</w:t>
            </w:r>
          </w:p>
        </w:tc>
        <w:tc>
          <w:tcPr>
            <w:tcW w:w="1373" w:type="dxa"/>
            <w:tcMar>
              <w:top w:w="0" w:type="dxa"/>
              <w:left w:w="105" w:type="dxa"/>
              <w:bottom w:w="0" w:type="dxa"/>
              <w:right w:w="105" w:type="dxa"/>
            </w:tcMar>
            <w:vAlign w:val="top"/>
          </w:tcPr>
          <w:p w14:paraId="676F663A">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袋</w:t>
            </w:r>
          </w:p>
        </w:tc>
      </w:tr>
      <w:tr w14:paraId="532E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76FEBF9F">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760" w:type="dxa"/>
            <w:shd w:val="clear" w:color="auto" w:fill="auto"/>
            <w:tcMar>
              <w:top w:w="0" w:type="dxa"/>
              <w:left w:w="105" w:type="dxa"/>
              <w:bottom w:w="0" w:type="dxa"/>
              <w:right w:w="105" w:type="dxa"/>
            </w:tcMar>
            <w:vAlign w:val="top"/>
          </w:tcPr>
          <w:p w14:paraId="73E55AF7">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一倍半桶面</w:t>
            </w:r>
          </w:p>
        </w:tc>
        <w:tc>
          <w:tcPr>
            <w:tcW w:w="2759" w:type="dxa"/>
          </w:tcPr>
          <w:p w14:paraId="34EFA109">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120</w:t>
            </w:r>
            <w:r>
              <w:rPr>
                <w:rFonts w:hint="eastAsia" w:ascii="宋体" w:hAnsi="宋体" w:eastAsia="宋体" w:cs="宋体"/>
                <w:sz w:val="21"/>
                <w:szCs w:val="21"/>
              </w:rPr>
              <w:t>g~</w:t>
            </w:r>
            <w:r>
              <w:rPr>
                <w:rFonts w:hint="eastAsia" w:ascii="宋体" w:hAnsi="宋体" w:eastAsia="宋体" w:cs="宋体"/>
                <w:sz w:val="21"/>
                <w:szCs w:val="21"/>
                <w:lang w:val="en-US" w:eastAsia="zh-CN"/>
              </w:rPr>
              <w:t>140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0B27F1F0">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28D63516">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00B37382">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3.50</w:t>
            </w:r>
          </w:p>
        </w:tc>
        <w:tc>
          <w:tcPr>
            <w:tcW w:w="1373" w:type="dxa"/>
            <w:tcMar>
              <w:top w:w="0" w:type="dxa"/>
              <w:left w:w="105" w:type="dxa"/>
              <w:bottom w:w="0" w:type="dxa"/>
              <w:right w:w="105" w:type="dxa"/>
            </w:tcMar>
            <w:vAlign w:val="top"/>
          </w:tcPr>
          <w:p w14:paraId="01EB372B">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桶</w:t>
            </w:r>
          </w:p>
        </w:tc>
      </w:tr>
      <w:tr w14:paraId="4A12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7033110B">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60" w:type="dxa"/>
            <w:shd w:val="clear" w:color="auto" w:fill="auto"/>
            <w:tcMar>
              <w:top w:w="0" w:type="dxa"/>
              <w:left w:w="105" w:type="dxa"/>
              <w:bottom w:w="0" w:type="dxa"/>
              <w:right w:w="105" w:type="dxa"/>
            </w:tcMar>
            <w:vAlign w:val="top"/>
          </w:tcPr>
          <w:p w14:paraId="5E2D2948">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一倍半袋面</w:t>
            </w:r>
          </w:p>
        </w:tc>
        <w:tc>
          <w:tcPr>
            <w:tcW w:w="2759" w:type="dxa"/>
          </w:tcPr>
          <w:p w14:paraId="192FCD00">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115</w:t>
            </w:r>
            <w:r>
              <w:rPr>
                <w:rFonts w:hint="eastAsia" w:ascii="宋体" w:hAnsi="宋体" w:eastAsia="宋体" w:cs="宋体"/>
                <w:sz w:val="21"/>
                <w:szCs w:val="21"/>
              </w:rPr>
              <w:t>g~</w:t>
            </w:r>
            <w:r>
              <w:rPr>
                <w:rFonts w:hint="eastAsia" w:ascii="宋体" w:hAnsi="宋体" w:eastAsia="宋体" w:cs="宋体"/>
                <w:sz w:val="21"/>
                <w:szCs w:val="21"/>
                <w:lang w:val="en-US" w:eastAsia="zh-CN"/>
              </w:rPr>
              <w:t>135</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087B4FEA">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3088B613">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0AB65CE5">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2.15</w:t>
            </w:r>
          </w:p>
        </w:tc>
        <w:tc>
          <w:tcPr>
            <w:tcW w:w="1373" w:type="dxa"/>
            <w:tcMar>
              <w:top w:w="0" w:type="dxa"/>
              <w:left w:w="105" w:type="dxa"/>
              <w:bottom w:w="0" w:type="dxa"/>
              <w:right w:w="105" w:type="dxa"/>
            </w:tcMar>
            <w:vAlign w:val="top"/>
          </w:tcPr>
          <w:p w14:paraId="2DECF92E">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袋</w:t>
            </w:r>
          </w:p>
        </w:tc>
      </w:tr>
      <w:tr w14:paraId="0A23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323FDFDE">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760" w:type="dxa"/>
            <w:shd w:val="clear" w:color="auto" w:fill="auto"/>
            <w:tcMar>
              <w:top w:w="0" w:type="dxa"/>
              <w:left w:w="105" w:type="dxa"/>
              <w:bottom w:w="0" w:type="dxa"/>
              <w:right w:w="105" w:type="dxa"/>
            </w:tcMar>
            <w:vAlign w:val="top"/>
          </w:tcPr>
          <w:p w14:paraId="51CC69E7">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高汤桶面</w:t>
            </w:r>
          </w:p>
        </w:tc>
        <w:tc>
          <w:tcPr>
            <w:tcW w:w="2759" w:type="dxa"/>
          </w:tcPr>
          <w:p w14:paraId="3450C931">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90</w:t>
            </w:r>
            <w:r>
              <w:rPr>
                <w:rFonts w:hint="eastAsia" w:ascii="宋体" w:hAnsi="宋体" w:eastAsia="宋体" w:cs="宋体"/>
                <w:sz w:val="21"/>
                <w:szCs w:val="21"/>
              </w:rPr>
              <w:t>g~</w:t>
            </w:r>
            <w:r>
              <w:rPr>
                <w:rFonts w:hint="eastAsia" w:ascii="宋体" w:hAnsi="宋体" w:eastAsia="宋体" w:cs="宋体"/>
                <w:sz w:val="21"/>
                <w:szCs w:val="21"/>
                <w:lang w:val="en-US" w:eastAsia="zh-CN"/>
              </w:rPr>
              <w:t>110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7D8785CC">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2483BEA6">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0D3E9DBF">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4.65</w:t>
            </w:r>
          </w:p>
        </w:tc>
        <w:tc>
          <w:tcPr>
            <w:tcW w:w="1373" w:type="dxa"/>
            <w:tcMar>
              <w:top w:w="0" w:type="dxa"/>
              <w:left w:w="105" w:type="dxa"/>
              <w:bottom w:w="0" w:type="dxa"/>
              <w:right w:w="105" w:type="dxa"/>
            </w:tcMar>
            <w:vAlign w:val="top"/>
          </w:tcPr>
          <w:p w14:paraId="128A873B">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桶</w:t>
            </w:r>
          </w:p>
        </w:tc>
      </w:tr>
      <w:tr w14:paraId="0D5C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29238BA1">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760" w:type="dxa"/>
            <w:shd w:val="clear" w:color="auto" w:fill="auto"/>
            <w:tcMar>
              <w:top w:w="0" w:type="dxa"/>
              <w:left w:w="105" w:type="dxa"/>
              <w:bottom w:w="0" w:type="dxa"/>
              <w:right w:w="105" w:type="dxa"/>
            </w:tcMar>
            <w:vAlign w:val="top"/>
          </w:tcPr>
          <w:p w14:paraId="6D4D70D8">
            <w:pPr>
              <w:pStyle w:val="172"/>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面巾抽纸</w:t>
            </w:r>
          </w:p>
        </w:tc>
        <w:tc>
          <w:tcPr>
            <w:tcW w:w="2759" w:type="dxa"/>
          </w:tcPr>
          <w:p w14:paraId="191E9875">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90</w:t>
            </w:r>
            <w:r>
              <w:rPr>
                <w:rFonts w:hint="eastAsia" w:ascii="宋体" w:hAnsi="宋体" w:eastAsia="宋体" w:cs="宋体"/>
                <w:sz w:val="21"/>
                <w:szCs w:val="21"/>
              </w:rPr>
              <w:t>~</w:t>
            </w:r>
            <w:r>
              <w:rPr>
                <w:rFonts w:hint="eastAsia" w:ascii="宋体" w:hAnsi="宋体" w:eastAsia="宋体" w:cs="宋体"/>
                <w:sz w:val="21"/>
                <w:szCs w:val="21"/>
                <w:lang w:val="en-US" w:eastAsia="zh-CN"/>
              </w:rPr>
              <w:t>120抽（3层），100%原生木浆</w:t>
            </w:r>
            <w:r>
              <w:rPr>
                <w:rFonts w:hint="eastAsia" w:ascii="宋体" w:hAnsi="宋体" w:eastAsia="宋体" w:cs="宋体"/>
                <w:sz w:val="21"/>
                <w:szCs w:val="21"/>
              </w:rPr>
              <w:t>；</w:t>
            </w:r>
          </w:p>
          <w:p w14:paraId="2D0E1D52">
            <w:pPr>
              <w:pStyle w:val="172"/>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包装完好</w:t>
            </w:r>
            <w:r>
              <w:rPr>
                <w:rFonts w:hint="eastAsia" w:ascii="宋体" w:hAnsi="宋体" w:eastAsia="宋体" w:cs="宋体"/>
                <w:sz w:val="21"/>
                <w:szCs w:val="21"/>
              </w:rPr>
              <w:t>，无异味，无霉变，无生虫；无正常视力可见的外来异物；</w:t>
            </w:r>
          </w:p>
          <w:p w14:paraId="335CD195">
            <w:pPr>
              <w:pStyle w:val="172"/>
              <w:jc w:val="left"/>
              <w:rPr>
                <w:rFonts w:hint="eastAsia" w:ascii="宋体" w:hAnsi="宋体" w:eastAsia="宋体" w:cs="宋体"/>
                <w:sz w:val="21"/>
                <w:szCs w:val="21"/>
              </w:rPr>
            </w:pPr>
            <w:r>
              <w:rPr>
                <w:rFonts w:hint="eastAsia" w:ascii="宋体" w:hAnsi="宋体" w:eastAsia="宋体" w:cs="宋体"/>
                <w:sz w:val="21"/>
                <w:szCs w:val="21"/>
              </w:rPr>
              <w:t>3.满足GB/T 20808-2011《纸巾纸》标准规定。</w:t>
            </w:r>
          </w:p>
        </w:tc>
        <w:tc>
          <w:tcPr>
            <w:tcW w:w="1033" w:type="dxa"/>
            <w:tcMar>
              <w:top w:w="0" w:type="dxa"/>
              <w:left w:w="105" w:type="dxa"/>
              <w:bottom w:w="0" w:type="dxa"/>
              <w:right w:w="105" w:type="dxa"/>
            </w:tcMar>
            <w:vAlign w:val="top"/>
          </w:tcPr>
          <w:p w14:paraId="682B00E0">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8.15</w:t>
            </w:r>
          </w:p>
        </w:tc>
        <w:tc>
          <w:tcPr>
            <w:tcW w:w="1373" w:type="dxa"/>
            <w:tcMar>
              <w:top w:w="0" w:type="dxa"/>
              <w:left w:w="105" w:type="dxa"/>
              <w:bottom w:w="0" w:type="dxa"/>
              <w:right w:w="105" w:type="dxa"/>
            </w:tcMar>
            <w:vAlign w:val="top"/>
          </w:tcPr>
          <w:p w14:paraId="3816BE7A">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包</w:t>
            </w:r>
          </w:p>
        </w:tc>
      </w:tr>
      <w:tr w14:paraId="5F41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2C58EA34">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760" w:type="dxa"/>
            <w:shd w:val="clear" w:color="auto" w:fill="auto"/>
            <w:tcMar>
              <w:top w:w="0" w:type="dxa"/>
              <w:left w:w="105" w:type="dxa"/>
              <w:bottom w:w="0" w:type="dxa"/>
              <w:right w:w="105" w:type="dxa"/>
            </w:tcMar>
            <w:vAlign w:val="top"/>
          </w:tcPr>
          <w:p w14:paraId="3EBFA22B">
            <w:pPr>
              <w:pStyle w:val="172"/>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卫生巾（日用）</w:t>
            </w:r>
          </w:p>
        </w:tc>
        <w:tc>
          <w:tcPr>
            <w:tcW w:w="2759" w:type="dxa"/>
          </w:tcPr>
          <w:p w14:paraId="225C8B06">
            <w:pPr>
              <w:pStyle w:val="172"/>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1、净含量：10片；</w:t>
            </w:r>
          </w:p>
          <w:p w14:paraId="61C32EA7">
            <w:pPr>
              <w:pStyle w:val="172"/>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2、包装完好</w:t>
            </w:r>
            <w:r>
              <w:rPr>
                <w:rFonts w:hint="eastAsia" w:ascii="宋体" w:hAnsi="宋体" w:eastAsia="宋体" w:cs="宋体"/>
                <w:sz w:val="21"/>
                <w:szCs w:val="21"/>
              </w:rPr>
              <w:t>，</w:t>
            </w:r>
            <w:r>
              <w:rPr>
                <w:rFonts w:hint="eastAsia" w:ascii="宋体" w:hAnsi="宋体" w:eastAsia="宋体" w:cs="宋体"/>
                <w:sz w:val="21"/>
                <w:szCs w:val="21"/>
                <w:lang w:val="en-US" w:eastAsia="zh-CN"/>
              </w:rPr>
              <w:t>柔棉感，长度≥240MM；</w:t>
            </w:r>
            <w:r>
              <w:rPr>
                <w:rFonts w:hint="eastAsia" w:ascii="宋体" w:hAnsi="宋体" w:eastAsia="宋体" w:cs="宋体"/>
                <w:sz w:val="21"/>
                <w:szCs w:val="21"/>
              </w:rPr>
              <w:t>，无异味，无霉变，无生虫；无正常视力可见的外来异物</w:t>
            </w:r>
            <w:r>
              <w:rPr>
                <w:rFonts w:hint="eastAsia" w:ascii="宋体" w:hAnsi="宋体" w:eastAsia="宋体" w:cs="宋体"/>
                <w:sz w:val="21"/>
                <w:szCs w:val="21"/>
                <w:lang w:eastAsia="zh-CN"/>
              </w:rPr>
              <w:t>；</w:t>
            </w:r>
          </w:p>
          <w:p w14:paraId="0A17ED53">
            <w:pPr>
              <w:pStyle w:val="172"/>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满足GB/T 8939-2018</w:t>
            </w:r>
            <w:r>
              <w:rPr>
                <w:rFonts w:hint="eastAsia" w:ascii="宋体" w:hAnsi="宋体" w:eastAsia="宋体" w:cs="宋体"/>
                <w:sz w:val="21"/>
                <w:szCs w:val="21"/>
                <w:lang w:eastAsia="zh-CN"/>
              </w:rPr>
              <w:t>《</w:t>
            </w:r>
            <w:r>
              <w:rPr>
                <w:rFonts w:hint="eastAsia" w:ascii="宋体" w:hAnsi="宋体" w:eastAsia="宋体" w:cs="宋体"/>
                <w:sz w:val="21"/>
                <w:szCs w:val="21"/>
              </w:rPr>
              <w:t>卫生巾（护垫）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标准规定</w:t>
            </w:r>
          </w:p>
        </w:tc>
        <w:tc>
          <w:tcPr>
            <w:tcW w:w="1033" w:type="dxa"/>
            <w:tcMar>
              <w:top w:w="0" w:type="dxa"/>
              <w:left w:w="105" w:type="dxa"/>
              <w:bottom w:w="0" w:type="dxa"/>
              <w:right w:w="105" w:type="dxa"/>
            </w:tcMar>
            <w:vAlign w:val="top"/>
          </w:tcPr>
          <w:p w14:paraId="2E6A54FE">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8.35</w:t>
            </w:r>
          </w:p>
        </w:tc>
        <w:tc>
          <w:tcPr>
            <w:tcW w:w="1373" w:type="dxa"/>
            <w:tcMar>
              <w:top w:w="0" w:type="dxa"/>
              <w:left w:w="105" w:type="dxa"/>
              <w:bottom w:w="0" w:type="dxa"/>
              <w:right w:w="105" w:type="dxa"/>
            </w:tcMar>
            <w:vAlign w:val="top"/>
          </w:tcPr>
          <w:p w14:paraId="24647745">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包</w:t>
            </w:r>
          </w:p>
        </w:tc>
      </w:tr>
      <w:tr w14:paraId="6A92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43B7961F">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760" w:type="dxa"/>
            <w:shd w:val="clear" w:color="auto" w:fill="auto"/>
            <w:tcMar>
              <w:top w:w="0" w:type="dxa"/>
              <w:left w:w="105" w:type="dxa"/>
              <w:bottom w:w="0" w:type="dxa"/>
              <w:right w:w="105" w:type="dxa"/>
            </w:tcMar>
            <w:vAlign w:val="top"/>
          </w:tcPr>
          <w:p w14:paraId="5734D390">
            <w:pPr>
              <w:pStyle w:val="172"/>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卫生巾（夜用）</w:t>
            </w:r>
          </w:p>
        </w:tc>
        <w:tc>
          <w:tcPr>
            <w:tcW w:w="2759" w:type="dxa"/>
          </w:tcPr>
          <w:p w14:paraId="19DD99D9">
            <w:pPr>
              <w:pStyle w:val="172"/>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1、净含量：10片；</w:t>
            </w:r>
          </w:p>
          <w:p w14:paraId="2814CB9F">
            <w:pPr>
              <w:pStyle w:val="172"/>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2、包装完好</w:t>
            </w:r>
            <w:r>
              <w:rPr>
                <w:rFonts w:hint="eastAsia" w:ascii="宋体" w:hAnsi="宋体" w:eastAsia="宋体" w:cs="宋体"/>
                <w:sz w:val="21"/>
                <w:szCs w:val="21"/>
              </w:rPr>
              <w:t>，</w:t>
            </w:r>
            <w:r>
              <w:rPr>
                <w:rFonts w:hint="eastAsia" w:ascii="宋体" w:hAnsi="宋体" w:eastAsia="宋体" w:cs="宋体"/>
                <w:sz w:val="21"/>
                <w:szCs w:val="21"/>
                <w:lang w:val="en-US" w:eastAsia="zh-CN"/>
              </w:rPr>
              <w:t>柔棉感，长度≥290MM；</w:t>
            </w:r>
            <w:r>
              <w:rPr>
                <w:rFonts w:hint="eastAsia" w:ascii="宋体" w:hAnsi="宋体" w:eastAsia="宋体" w:cs="宋体"/>
                <w:sz w:val="21"/>
                <w:szCs w:val="21"/>
              </w:rPr>
              <w:t>，无异味，无霉变，无生虫；无正常视力可见的外来异物</w:t>
            </w:r>
            <w:r>
              <w:rPr>
                <w:rFonts w:hint="eastAsia" w:ascii="宋体" w:hAnsi="宋体" w:eastAsia="宋体" w:cs="宋体"/>
                <w:sz w:val="21"/>
                <w:szCs w:val="21"/>
                <w:lang w:eastAsia="zh-CN"/>
              </w:rPr>
              <w:t>；</w:t>
            </w:r>
          </w:p>
          <w:p w14:paraId="7ADF23CF">
            <w:pPr>
              <w:pStyle w:val="172"/>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满足GB/T 8939-2018</w:t>
            </w:r>
            <w:r>
              <w:rPr>
                <w:rFonts w:hint="eastAsia" w:ascii="宋体" w:hAnsi="宋体" w:eastAsia="宋体" w:cs="宋体"/>
                <w:sz w:val="21"/>
                <w:szCs w:val="21"/>
                <w:lang w:eastAsia="zh-CN"/>
              </w:rPr>
              <w:t>《</w:t>
            </w:r>
            <w:r>
              <w:rPr>
                <w:rFonts w:hint="eastAsia" w:ascii="宋体" w:hAnsi="宋体" w:eastAsia="宋体" w:cs="宋体"/>
                <w:sz w:val="21"/>
                <w:szCs w:val="21"/>
              </w:rPr>
              <w:t>卫生巾（护垫）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标准规定</w:t>
            </w:r>
          </w:p>
        </w:tc>
        <w:tc>
          <w:tcPr>
            <w:tcW w:w="1033" w:type="dxa"/>
            <w:tcMar>
              <w:top w:w="0" w:type="dxa"/>
              <w:left w:w="105" w:type="dxa"/>
              <w:bottom w:w="0" w:type="dxa"/>
              <w:right w:w="105" w:type="dxa"/>
            </w:tcMar>
            <w:vAlign w:val="top"/>
          </w:tcPr>
          <w:p w14:paraId="4D6E11A2">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8.55</w:t>
            </w:r>
          </w:p>
        </w:tc>
        <w:tc>
          <w:tcPr>
            <w:tcW w:w="1373" w:type="dxa"/>
            <w:tcMar>
              <w:top w:w="0" w:type="dxa"/>
              <w:left w:w="105" w:type="dxa"/>
              <w:bottom w:w="0" w:type="dxa"/>
              <w:right w:w="105" w:type="dxa"/>
            </w:tcMar>
            <w:vAlign w:val="top"/>
          </w:tcPr>
          <w:p w14:paraId="0C7826FA">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包</w:t>
            </w:r>
          </w:p>
        </w:tc>
      </w:tr>
    </w:tbl>
    <w:p w14:paraId="4514CE75">
      <w:pPr>
        <w:snapToGrid w:val="0"/>
        <w:rPr>
          <w:rFonts w:hint="eastAsia" w:ascii="仿宋" w:hAnsi="仿宋" w:eastAsia="仿宋" w:cs="仿宋"/>
          <w:b/>
          <w:bCs/>
          <w:color w:val="auto"/>
          <w:sz w:val="30"/>
          <w:szCs w:val="30"/>
          <w:lang w:val="en-US" w:eastAsia="zh-CN"/>
        </w:rPr>
      </w:pPr>
    </w:p>
    <w:p w14:paraId="6C302673">
      <w:pPr>
        <w:snapToGrid w:val="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三、服务要求</w:t>
      </w:r>
    </w:p>
    <w:p w14:paraId="026CCB77">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（一）质量要求</w:t>
      </w:r>
    </w:p>
    <w:p w14:paraId="166920D7">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1.所有产品应符合国家及地方相关标准规定。</w:t>
      </w:r>
    </w:p>
    <w:p w14:paraId="6E520D46">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2.产品包装上均应有食品生产许可证编号。果汁型碳酸饮料应标明果汁含量；果汁茶饮料应在标签上标识果汁含量；奶茶饮料应在标签上标识蛋白质含量；茶浓缩应在标签上标明稀释倍数。</w:t>
      </w:r>
    </w:p>
    <w:p w14:paraId="33CEB71D">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（二）配送要求</w:t>
      </w:r>
    </w:p>
    <w:p w14:paraId="40617F59">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1.供应商在每次供货前提供产品进出货台账、检查周期表格、质检报告等资料。</w:t>
      </w:r>
    </w:p>
    <w:p w14:paraId="7401704E">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2.产品应在清洁、干燥、通风避光、无虫害、无鼠害的规范化仓库内贮存，产品贮存要符合食品安全相关法律法规和行业标准，确保产品安全。</w:t>
      </w:r>
    </w:p>
    <w:p w14:paraId="005D221F">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3.供应商应具有符合规定的配送专用车辆。送货车辆车厢应为专用封闭式，车辆内部结构应平整、便于清洁，不得与有毒、有异味、易挥发、易腐蚀的产品混装运输。车辆应做到每日清洗、消毒并做好消毒记录。</w:t>
      </w:r>
    </w:p>
    <w:p w14:paraId="5DB1FE25">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4.饮料类封口部位不应长时间浸泡在水中，以防止造成污染。</w:t>
      </w:r>
    </w:p>
    <w:p w14:paraId="618CE81D">
      <w:pPr>
        <w:spacing w:line="360" w:lineRule="auto"/>
        <w:ind w:firstLine="600" w:firstLineChars="200"/>
        <w:outlineLvl w:val="2"/>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5.供应商需为配备满足项目需求的人员，包含1名项目负责人（专职与采购人对接）、1名送货人员、</w:t>
      </w:r>
      <w:r>
        <w:rPr>
          <w:rFonts w:hint="eastAsia" w:ascii="仿宋" w:hAnsi="仿宋" w:eastAsia="仿宋" w:cs="仿宋"/>
          <w:color w:val="FF0000"/>
          <w:sz w:val="30"/>
          <w:szCs w:val="30"/>
          <w:lang w:val="en-US" w:eastAsia="zh-CN"/>
        </w:rPr>
        <w:t>1名每日上货人员</w:t>
      </w:r>
      <w:r>
        <w:rPr>
          <w:rFonts w:hint="eastAsia" w:ascii="仿宋" w:hAnsi="仿宋" w:eastAsia="仿宋" w:cs="仿宋"/>
          <w:color w:val="auto"/>
          <w:sz w:val="30"/>
          <w:szCs w:val="30"/>
          <w:lang w:val="en-US" w:eastAsia="zh-CN"/>
        </w:rPr>
        <w:t>。</w:t>
      </w:r>
    </w:p>
    <w:p w14:paraId="2BFD45E5">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6.供应商必须自行提供配送和上货服务，不得将配送工作进行任何方式的转包或分包。（提供承诺函，格式自拟）</w:t>
      </w:r>
    </w:p>
    <w:p w14:paraId="40AC157A">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7.供应商对所供产品的食品安全负责，供应商应建立 24 小时监控体系，在所有的仓库安装24小时声像监控设备。所有产品必须进行入库登记备案，在出库前再次检查产品的有效期、包装等。（提供承诺函，格式自拟）</w:t>
      </w:r>
    </w:p>
    <w:p w14:paraId="73D87A71">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（三）其他要求</w:t>
      </w:r>
    </w:p>
    <w:p w14:paraId="711E1FB5">
      <w:pPr>
        <w:spacing w:line="360" w:lineRule="auto"/>
        <w:ind w:firstLine="600" w:firstLineChars="200"/>
        <w:outlineLvl w:val="2"/>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1.饮料类每批货质保期有效期从验收之日起须在6个月（含）以上。保质期到期前三个月进行</w:t>
      </w:r>
      <w:r>
        <w:rPr>
          <w:rFonts w:hint="eastAsia" w:ascii="仿宋" w:hAnsi="仿宋" w:eastAsia="仿宋" w:cs="仿宋"/>
          <w:color w:val="auto"/>
          <w:sz w:val="30"/>
          <w:szCs w:val="30"/>
          <w:lang w:val="en-US" w:eastAsia="zh-CN"/>
        </w:rPr>
        <w:t>跟换</w:t>
      </w:r>
      <w:r>
        <w:rPr>
          <w:rFonts w:hint="default" w:ascii="仿宋" w:hAnsi="仿宋" w:eastAsia="仿宋" w:cs="仿宋"/>
          <w:color w:val="auto"/>
          <w:sz w:val="30"/>
          <w:szCs w:val="30"/>
          <w:lang w:val="en-US" w:eastAsia="zh-CN"/>
        </w:rPr>
        <w:t xml:space="preserve">处理。（提供承诺函，格式自拟） </w:t>
      </w:r>
    </w:p>
    <w:p w14:paraId="22735E4C">
      <w:pPr>
        <w:spacing w:line="360" w:lineRule="auto"/>
        <w:ind w:firstLine="600" w:firstLineChars="200"/>
        <w:outlineLvl w:val="2"/>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 xml:space="preserve">2.货物验收后，在质量保证期内，供应商应对由于工艺、材料等缺陷所发生的任何不足负责，应提供货物的包换、包退服务，所需费用由供应商承担。 </w:t>
      </w:r>
    </w:p>
    <w:p w14:paraId="4DC6EF39">
      <w:pPr>
        <w:spacing w:line="360" w:lineRule="auto"/>
        <w:ind w:firstLine="600" w:firstLineChars="200"/>
        <w:outlineLvl w:val="2"/>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3.质量保证期内产品出现质量问题，供货商应在接到采购人换货或退货通知后2日（含2日）内办理相应手续。</w:t>
      </w:r>
    </w:p>
    <w:p w14:paraId="752DC063">
      <w:pPr>
        <w:snapToGrid w:val="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rPr>
        <w:t>、商务要求</w:t>
      </w:r>
    </w:p>
    <w:p w14:paraId="2A228E11">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zh-CN"/>
        </w:rPr>
        <w:t>签订合同前，采购人将核实相关资料的真实性，如果与</w:t>
      </w:r>
      <w:r>
        <w:rPr>
          <w:rFonts w:hint="eastAsia" w:ascii="仿宋" w:hAnsi="仿宋" w:eastAsia="仿宋" w:cs="仿宋"/>
          <w:color w:val="auto"/>
          <w:sz w:val="30"/>
          <w:szCs w:val="30"/>
        </w:rPr>
        <w:t>响应文件</w:t>
      </w:r>
      <w:r>
        <w:rPr>
          <w:rFonts w:hint="eastAsia" w:ascii="仿宋" w:hAnsi="仿宋" w:eastAsia="仿宋" w:cs="仿宋"/>
          <w:color w:val="auto"/>
          <w:sz w:val="30"/>
          <w:szCs w:val="30"/>
          <w:lang w:val="zh-CN"/>
        </w:rPr>
        <w:t>不符，按虚假应标处理，取消</w:t>
      </w:r>
      <w:r>
        <w:rPr>
          <w:rFonts w:hint="eastAsia" w:ascii="仿宋" w:hAnsi="仿宋" w:eastAsia="仿宋" w:cs="仿宋"/>
          <w:color w:val="auto"/>
          <w:sz w:val="30"/>
          <w:szCs w:val="30"/>
        </w:rPr>
        <w:t>成交</w:t>
      </w:r>
      <w:r>
        <w:rPr>
          <w:rFonts w:hint="eastAsia" w:ascii="仿宋" w:hAnsi="仿宋" w:eastAsia="仿宋" w:cs="仿宋"/>
          <w:color w:val="auto"/>
          <w:sz w:val="30"/>
          <w:szCs w:val="30"/>
          <w:lang w:val="zh-CN"/>
        </w:rPr>
        <w:t>资格。</w:t>
      </w:r>
    </w:p>
    <w:p w14:paraId="72641E06">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付款方式：</w:t>
      </w:r>
      <w:r>
        <w:rPr>
          <w:rFonts w:hint="eastAsia" w:ascii="仿宋" w:hAnsi="仿宋" w:eastAsia="仿宋" w:cs="仿宋"/>
          <w:color w:val="auto"/>
          <w:sz w:val="30"/>
          <w:szCs w:val="30"/>
          <w:lang w:val="en-US" w:eastAsia="zh-CN"/>
        </w:rPr>
        <w:t>按月支付</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第二月初</w:t>
      </w:r>
      <w:r>
        <w:rPr>
          <w:rFonts w:hint="eastAsia" w:ascii="仿宋" w:hAnsi="仿宋" w:eastAsia="仿宋" w:cs="仿宋"/>
          <w:color w:val="auto"/>
          <w:sz w:val="30"/>
          <w:szCs w:val="30"/>
        </w:rPr>
        <w:t>成交供应商向采购人出具合法有效完整的发票及凭证资料进行支付结算，</w:t>
      </w:r>
      <w:r>
        <w:rPr>
          <w:rFonts w:hint="eastAsia" w:ascii="仿宋" w:hAnsi="仿宋" w:eastAsia="仿宋" w:cs="仿宋"/>
          <w:color w:val="FF0000"/>
          <w:sz w:val="30"/>
          <w:szCs w:val="30"/>
        </w:rPr>
        <w:t>按</w:t>
      </w:r>
      <w:r>
        <w:rPr>
          <w:rFonts w:hint="eastAsia" w:ascii="仿宋" w:hAnsi="仿宋" w:eastAsia="仿宋" w:cs="仿宋"/>
          <w:color w:val="FF0000"/>
          <w:sz w:val="30"/>
          <w:szCs w:val="30"/>
          <w:lang w:val="en-US" w:eastAsia="zh-CN"/>
        </w:rPr>
        <w:t>上月</w:t>
      </w:r>
      <w:r>
        <w:rPr>
          <w:rFonts w:hint="eastAsia" w:ascii="仿宋" w:hAnsi="仿宋" w:eastAsia="仿宋" w:cs="仿宋"/>
          <w:color w:val="FF0000"/>
          <w:sz w:val="30"/>
          <w:szCs w:val="30"/>
        </w:rPr>
        <w:t>实际交付货物数量</w:t>
      </w:r>
      <w:r>
        <w:rPr>
          <w:rFonts w:hint="eastAsia" w:ascii="仿宋" w:hAnsi="仿宋" w:eastAsia="仿宋" w:cs="仿宋"/>
          <w:color w:val="FF0000"/>
          <w:sz w:val="30"/>
          <w:szCs w:val="30"/>
          <w:lang w:val="en-US" w:eastAsia="zh-CN"/>
        </w:rPr>
        <w:t>和投标单价</w:t>
      </w:r>
      <w:r>
        <w:rPr>
          <w:rFonts w:hint="eastAsia" w:ascii="仿宋" w:hAnsi="仿宋" w:eastAsia="仿宋" w:cs="仿宋"/>
          <w:color w:val="FF0000"/>
          <w:sz w:val="30"/>
          <w:szCs w:val="30"/>
        </w:rPr>
        <w:t>支付货款</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投标单价</w:t>
      </w:r>
      <w:r>
        <w:rPr>
          <w:rFonts w:hint="eastAsia" w:ascii="仿宋" w:hAnsi="仿宋" w:eastAsia="仿宋" w:cs="仿宋"/>
          <w:color w:val="auto"/>
          <w:sz w:val="30"/>
          <w:szCs w:val="30"/>
        </w:rPr>
        <w:t>包含运输、安装、调试、检验、培训、税金和保险等费用以及采购文件规定的其他费用。</w:t>
      </w:r>
    </w:p>
    <w:p w14:paraId="55B13F21">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供货地点：采购人指定地点。</w:t>
      </w:r>
    </w:p>
    <w:p w14:paraId="3BAC10F6">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供货</w:t>
      </w:r>
      <w:r>
        <w:rPr>
          <w:rFonts w:hint="eastAsia" w:ascii="仿宋" w:hAnsi="仿宋" w:eastAsia="仿宋" w:cs="仿宋"/>
          <w:color w:val="auto"/>
          <w:sz w:val="30"/>
          <w:szCs w:val="30"/>
          <w:lang w:val="en-US" w:eastAsia="zh-CN"/>
        </w:rPr>
        <w:t>期限</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合同签订后365日历天</w:t>
      </w:r>
      <w:r>
        <w:rPr>
          <w:rFonts w:hint="eastAsia" w:ascii="仿宋" w:hAnsi="仿宋" w:eastAsia="仿宋" w:cs="仿宋"/>
          <w:color w:val="auto"/>
          <w:sz w:val="30"/>
          <w:szCs w:val="30"/>
        </w:rPr>
        <w:t>。</w:t>
      </w:r>
    </w:p>
    <w:p w14:paraId="68A4076A">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验收方法：采购人应严格按照《财政部关于进一步加强政府采购需求和履约验收管理的指导意见》（财库2016）205号文件规定</w:t>
      </w:r>
      <w:r>
        <w:rPr>
          <w:rFonts w:hint="eastAsia" w:ascii="仿宋" w:hAnsi="仿宋" w:eastAsia="仿宋" w:cs="仿宋"/>
          <w:color w:val="auto"/>
          <w:sz w:val="30"/>
          <w:szCs w:val="30"/>
          <w:lang w:val="en-US" w:eastAsia="zh-CN"/>
        </w:rPr>
        <w:t>及符合国家、行业标准、四川省地方标准规定的验收标准</w:t>
      </w:r>
      <w:r>
        <w:rPr>
          <w:rFonts w:hint="eastAsia" w:ascii="仿宋" w:hAnsi="仿宋" w:eastAsia="仿宋" w:cs="仿宋"/>
          <w:color w:val="auto"/>
          <w:sz w:val="30"/>
          <w:szCs w:val="30"/>
        </w:rPr>
        <w:t>进行验收。</w:t>
      </w:r>
    </w:p>
    <w:p w14:paraId="72DAF572">
      <w:pPr>
        <w:spacing w:line="360" w:lineRule="auto"/>
        <w:ind w:firstLine="600" w:firstLineChars="200"/>
        <w:outlineLvl w:val="2"/>
        <w:rPr>
          <w:rFonts w:hint="eastAsia" w:ascii="仿宋" w:hAnsi="仿宋" w:eastAsia="仿宋" w:cs="仿宋"/>
          <w:color w:val="auto"/>
          <w:sz w:val="30"/>
          <w:szCs w:val="30"/>
        </w:rPr>
        <w:sectPr>
          <w:footerReference r:id="rId7" w:type="first"/>
          <w:footerReference r:id="rId6" w:type="default"/>
          <w:pgSz w:w="11906" w:h="16840"/>
          <w:pgMar w:top="1440" w:right="1800" w:bottom="1440" w:left="1800" w:header="851" w:footer="992" w:gutter="0"/>
          <w:pgNumType w:fmt="decimal" w:start="1"/>
          <w:cols w:space="720" w:num="1"/>
          <w:titlePg/>
          <w:docGrid w:type="linesAndChars" w:linePitch="312" w:charSpace="0"/>
        </w:sectPr>
      </w:pPr>
      <w:r>
        <w:rPr>
          <w:rFonts w:hint="eastAsia" w:ascii="仿宋" w:hAnsi="仿宋" w:eastAsia="仿宋" w:cs="仿宋"/>
          <w:color w:val="auto"/>
          <w:sz w:val="30"/>
          <w:szCs w:val="30"/>
          <w:lang w:val="en-US" w:eastAsia="zh-CN"/>
        </w:rPr>
        <w:t>6、其它未尽事宜由双方在合同中约定。</w:t>
      </w:r>
      <w:r>
        <w:rPr>
          <w:rFonts w:hint="eastAsia" w:ascii="仿宋" w:hAnsi="仿宋" w:eastAsia="仿宋" w:cs="仿宋"/>
          <w:color w:val="auto"/>
          <w:sz w:val="30"/>
          <w:szCs w:val="30"/>
        </w:rPr>
        <w:t xml:space="preserve"> </w:t>
      </w:r>
    </w:p>
    <w:bookmarkEnd w:id="16"/>
    <w:bookmarkEnd w:id="17"/>
    <w:bookmarkEnd w:id="18"/>
    <w:bookmarkEnd w:id="19"/>
    <w:bookmarkEnd w:id="20"/>
    <w:p w14:paraId="166F782D">
      <w:pPr>
        <w:pStyle w:val="38"/>
        <w:rPr>
          <w:rFonts w:ascii="仿宋" w:hAnsi="仿宋" w:eastAsia="仿宋" w:cs="Times New Roman"/>
          <w:color w:val="auto"/>
          <w:sz w:val="30"/>
          <w:szCs w:val="30"/>
        </w:rPr>
      </w:pPr>
      <w:bookmarkStart w:id="82" w:name="_Toc41037907"/>
      <w:bookmarkStart w:id="83" w:name="_Toc509579145"/>
      <w:bookmarkStart w:id="84" w:name="_Toc183582232"/>
      <w:bookmarkStart w:id="85" w:name="_Toc183682369"/>
      <w:bookmarkStart w:id="86" w:name="_Toc217446057"/>
      <w:r>
        <w:rPr>
          <w:rFonts w:hint="eastAsia" w:ascii="仿宋" w:hAnsi="仿宋" w:eastAsia="仿宋" w:cs="仿宋"/>
          <w:color w:val="auto"/>
        </w:rPr>
        <w:t>第六章谈判内容、谈判过程中可实质性变动的内容</w:t>
      </w:r>
      <w:bookmarkEnd w:id="82"/>
      <w:bookmarkEnd w:id="83"/>
    </w:p>
    <w:p w14:paraId="265ABD63">
      <w:pPr>
        <w:tabs>
          <w:tab w:val="left" w:pos="7665"/>
        </w:tabs>
        <w:spacing w:line="360" w:lineRule="auto"/>
        <w:ind w:firstLine="480"/>
        <w:rPr>
          <w:rFonts w:ascii="仿宋" w:hAnsi="仿宋" w:eastAsia="仿宋"/>
          <w:color w:val="auto"/>
          <w:sz w:val="30"/>
          <w:szCs w:val="30"/>
        </w:rPr>
      </w:pPr>
    </w:p>
    <w:p w14:paraId="21A389E4">
      <w:pPr>
        <w:tabs>
          <w:tab w:val="left" w:pos="7665"/>
        </w:tabs>
        <w:spacing w:line="360" w:lineRule="auto"/>
        <w:ind w:firstLine="480"/>
        <w:rPr>
          <w:rFonts w:ascii="仿宋" w:hAnsi="仿宋" w:eastAsia="仿宋"/>
          <w:color w:val="auto"/>
          <w:sz w:val="30"/>
          <w:szCs w:val="30"/>
        </w:rPr>
      </w:pPr>
      <w:r>
        <w:rPr>
          <w:rFonts w:hint="eastAsia" w:ascii="仿宋" w:hAnsi="仿宋" w:eastAsia="仿宋" w:cs="仿宋"/>
          <w:color w:val="auto"/>
          <w:sz w:val="30"/>
          <w:szCs w:val="30"/>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2B38AF7C">
      <w:pPr>
        <w:tabs>
          <w:tab w:val="left" w:pos="7665"/>
        </w:tabs>
        <w:spacing w:line="360" w:lineRule="auto"/>
        <w:ind w:firstLine="480"/>
        <w:rPr>
          <w:rFonts w:ascii="仿宋" w:hAnsi="仿宋" w:eastAsia="仿宋"/>
          <w:color w:val="auto"/>
          <w:sz w:val="28"/>
          <w:szCs w:val="28"/>
        </w:rPr>
      </w:pPr>
    </w:p>
    <w:p w14:paraId="2518CE34">
      <w:pPr>
        <w:pStyle w:val="38"/>
        <w:rPr>
          <w:rFonts w:ascii="仿宋" w:hAnsi="仿宋" w:eastAsia="仿宋" w:cs="仿宋"/>
          <w:color w:val="auto"/>
        </w:rPr>
      </w:pPr>
      <w:bookmarkStart w:id="87" w:name="_Toc509579146"/>
      <w:bookmarkStart w:id="88" w:name="_Toc41037908"/>
    </w:p>
    <w:p w14:paraId="0E960DA4">
      <w:pPr>
        <w:pStyle w:val="38"/>
        <w:rPr>
          <w:rFonts w:ascii="仿宋" w:hAnsi="仿宋" w:eastAsia="仿宋" w:cs="仿宋"/>
          <w:color w:val="auto"/>
        </w:rPr>
      </w:pPr>
    </w:p>
    <w:p w14:paraId="704F9288">
      <w:pPr>
        <w:pStyle w:val="38"/>
        <w:rPr>
          <w:rFonts w:ascii="仿宋" w:hAnsi="仿宋" w:eastAsia="仿宋" w:cs="仿宋"/>
          <w:color w:val="auto"/>
        </w:rPr>
      </w:pPr>
    </w:p>
    <w:p w14:paraId="1E574652">
      <w:pPr>
        <w:pStyle w:val="38"/>
        <w:rPr>
          <w:rFonts w:ascii="仿宋" w:hAnsi="仿宋" w:eastAsia="仿宋" w:cs="仿宋"/>
          <w:color w:val="auto"/>
        </w:rPr>
      </w:pPr>
    </w:p>
    <w:p w14:paraId="102A0D73">
      <w:pPr>
        <w:pStyle w:val="38"/>
        <w:rPr>
          <w:rFonts w:ascii="仿宋" w:hAnsi="仿宋" w:eastAsia="仿宋" w:cs="仿宋"/>
          <w:color w:val="auto"/>
        </w:rPr>
      </w:pPr>
    </w:p>
    <w:p w14:paraId="013FFB64">
      <w:pPr>
        <w:pStyle w:val="38"/>
        <w:rPr>
          <w:rFonts w:ascii="仿宋" w:hAnsi="仿宋" w:eastAsia="仿宋" w:cs="仿宋"/>
          <w:color w:val="auto"/>
        </w:rPr>
      </w:pPr>
    </w:p>
    <w:p w14:paraId="75145478">
      <w:pPr>
        <w:pStyle w:val="38"/>
        <w:rPr>
          <w:rFonts w:ascii="仿宋" w:hAnsi="仿宋" w:eastAsia="仿宋" w:cs="仿宋"/>
          <w:color w:val="auto"/>
        </w:rPr>
      </w:pPr>
    </w:p>
    <w:p w14:paraId="14B0ABBF">
      <w:pPr>
        <w:pStyle w:val="38"/>
        <w:rPr>
          <w:rFonts w:ascii="仿宋" w:hAnsi="仿宋" w:eastAsia="仿宋" w:cs="Times New Roman"/>
          <w:color w:val="auto"/>
        </w:rPr>
      </w:pPr>
      <w:r>
        <w:rPr>
          <w:rFonts w:hint="eastAsia" w:ascii="仿宋" w:hAnsi="仿宋" w:eastAsia="仿宋" w:cs="仿宋"/>
          <w:color w:val="auto"/>
        </w:rPr>
        <w:br w:type="page"/>
      </w:r>
      <w:r>
        <w:rPr>
          <w:rFonts w:hint="eastAsia" w:ascii="仿宋" w:hAnsi="仿宋" w:eastAsia="仿宋" w:cs="仿宋"/>
          <w:color w:val="auto"/>
        </w:rPr>
        <w:t>第七章 响应文件格式</w:t>
      </w:r>
      <w:bookmarkEnd w:id="87"/>
      <w:bookmarkEnd w:id="88"/>
    </w:p>
    <w:p w14:paraId="2D020B6D">
      <w:pPr>
        <w:spacing w:line="360" w:lineRule="auto"/>
        <w:jc w:val="left"/>
        <w:rPr>
          <w:rFonts w:ascii="仿宋" w:hAnsi="仿宋" w:eastAsia="仿宋"/>
          <w:b/>
          <w:bCs/>
          <w:color w:val="auto"/>
          <w:sz w:val="32"/>
          <w:szCs w:val="32"/>
        </w:rPr>
      </w:pPr>
    </w:p>
    <w:p w14:paraId="056198F5">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一、本章所制响应文件格式（不包括签字盖章），除格式中明确将该格式作为实质性要求的，不具有强制性。</w:t>
      </w:r>
    </w:p>
    <w:p w14:paraId="1D592E4B">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二、本章所制响应文件格式有关表格中的备注栏，由供应商根据自身响应情况作解释性说明，不作为必填项。</w:t>
      </w:r>
    </w:p>
    <w:p w14:paraId="63760BB0">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三、本章所制响应文件格式中需要填写的相关内容事项，可能会与本采购项目无关，在不改变响应文件原义、不影响本项目采购需求的情况下，供应商可以不予填写，但应当注明。</w:t>
      </w:r>
    </w:p>
    <w:p w14:paraId="6C0FD1B9">
      <w:pPr>
        <w:spacing w:line="360" w:lineRule="auto"/>
        <w:jc w:val="center"/>
        <w:rPr>
          <w:rFonts w:ascii="仿宋" w:hAnsi="仿宋" w:eastAsia="仿宋"/>
          <w:b/>
          <w:bCs/>
          <w:color w:val="auto"/>
          <w:sz w:val="32"/>
          <w:szCs w:val="32"/>
        </w:rPr>
      </w:pPr>
    </w:p>
    <w:p w14:paraId="31EB08AD">
      <w:pPr>
        <w:jc w:val="center"/>
        <w:rPr>
          <w:b/>
          <w:color w:val="auto"/>
          <w:sz w:val="32"/>
          <w:szCs w:val="32"/>
        </w:rPr>
      </w:pPr>
      <w:r>
        <w:rPr>
          <w:rFonts w:ascii="仿宋" w:hAnsi="仿宋" w:eastAsia="仿宋"/>
          <w:b/>
          <w:bCs/>
          <w:color w:val="auto"/>
          <w:sz w:val="32"/>
          <w:szCs w:val="32"/>
        </w:rPr>
        <w:br w:type="page"/>
      </w:r>
      <w:r>
        <w:rPr>
          <w:rFonts w:hint="eastAsia"/>
          <w:b/>
          <w:color w:val="auto"/>
          <w:sz w:val="32"/>
          <w:szCs w:val="32"/>
        </w:rPr>
        <w:t>一、法定代表人授权书</w:t>
      </w:r>
    </w:p>
    <w:p w14:paraId="08A16D71">
      <w:pPr>
        <w:jc w:val="center"/>
        <w:rPr>
          <w:b/>
          <w:color w:val="auto"/>
          <w:sz w:val="44"/>
        </w:rPr>
      </w:pPr>
    </w:p>
    <w:p w14:paraId="368E4313">
      <w:pPr>
        <w:spacing w:line="400" w:lineRule="exact"/>
        <w:rPr>
          <w:rFonts w:ascii="宋体" w:hAnsi="宋体"/>
          <w:color w:val="auto"/>
          <w:sz w:val="24"/>
        </w:rPr>
      </w:pPr>
      <w:r>
        <w:rPr>
          <w:rFonts w:hint="eastAsia" w:ascii="宋体" w:hAnsi="宋体"/>
          <w:color w:val="auto"/>
          <w:sz w:val="24"/>
        </w:rPr>
        <w:t>XXX（采购代理机构名称）：</w:t>
      </w:r>
    </w:p>
    <w:p w14:paraId="5C4A963E">
      <w:pPr>
        <w:spacing w:line="400" w:lineRule="exact"/>
        <w:ind w:firstLine="480" w:firstLineChars="200"/>
        <w:rPr>
          <w:rFonts w:ascii="宋体" w:hAnsi="宋体"/>
          <w:color w:val="auto"/>
          <w:sz w:val="24"/>
        </w:rPr>
      </w:pPr>
      <w:r>
        <w:rPr>
          <w:rFonts w:hint="eastAsia" w:ascii="宋体" w:hAnsi="宋体"/>
          <w:color w:val="auto"/>
          <w:sz w:val="24"/>
        </w:rPr>
        <w:t>本授权声明：XXX（单位名称）,XXX（法定代表人姓名、职务）授权XXX</w:t>
      </w:r>
      <w:r>
        <w:rPr>
          <w:rFonts w:hint="eastAsia" w:ascii="宋体" w:hAnsi="宋体"/>
          <w:color w:val="auto"/>
          <w:sz w:val="24"/>
          <w:u w:val="single"/>
        </w:rPr>
        <w:t xml:space="preserve">                   </w:t>
      </w:r>
      <w:r>
        <w:rPr>
          <w:rFonts w:hint="eastAsia" w:ascii="宋体" w:hAnsi="宋体"/>
          <w:color w:val="auto"/>
          <w:sz w:val="24"/>
        </w:rPr>
        <w:t>（被授权人姓名、职务）为我方参加XXX项目（采购编号：XXX）谈判采购活动的合法代表，以我方名义全权处理该项目有关谈判、报价、签订合同以及执行合同等一切事宜。</w:t>
      </w:r>
    </w:p>
    <w:p w14:paraId="41BF5F92">
      <w:pPr>
        <w:spacing w:line="400" w:lineRule="exact"/>
        <w:ind w:firstLine="480" w:firstLineChars="200"/>
        <w:rPr>
          <w:rFonts w:ascii="宋体" w:hAnsi="宋体"/>
          <w:color w:val="auto"/>
          <w:sz w:val="24"/>
        </w:rPr>
      </w:pPr>
      <w:r>
        <w:rPr>
          <w:rFonts w:hint="eastAsia" w:ascii="宋体" w:hAnsi="宋体"/>
          <w:color w:val="auto"/>
          <w:sz w:val="24"/>
        </w:rPr>
        <w:t>特此声明。</w:t>
      </w:r>
    </w:p>
    <w:p w14:paraId="3609FFAC">
      <w:pPr>
        <w:spacing w:line="400" w:lineRule="exact"/>
        <w:ind w:firstLine="480" w:firstLineChars="200"/>
        <w:rPr>
          <w:rFonts w:ascii="宋体" w:hAnsi="宋体"/>
          <w:color w:val="auto"/>
          <w:sz w:val="24"/>
        </w:rPr>
      </w:pPr>
    </w:p>
    <w:p w14:paraId="205D0AA7">
      <w:pPr>
        <w:spacing w:line="400" w:lineRule="exact"/>
        <w:ind w:firstLine="480" w:firstLineChars="200"/>
        <w:rPr>
          <w:rFonts w:ascii="宋体" w:hAnsi="宋体"/>
          <w:color w:val="auto"/>
          <w:sz w:val="24"/>
        </w:rPr>
      </w:pPr>
    </w:p>
    <w:p w14:paraId="5BED3123">
      <w:pPr>
        <w:spacing w:line="400" w:lineRule="exact"/>
        <w:ind w:firstLine="480" w:firstLineChars="200"/>
        <w:rPr>
          <w:rFonts w:ascii="宋体" w:hAnsi="宋体"/>
          <w:color w:val="auto"/>
          <w:sz w:val="24"/>
        </w:rPr>
      </w:pPr>
      <w:r>
        <w:rPr>
          <w:rFonts w:hint="eastAsia" w:ascii="宋体" w:hAnsi="宋体"/>
          <w:color w:val="auto"/>
          <w:sz w:val="24"/>
        </w:rPr>
        <w:t>供应商名称：XXX（盖单位公章）</w:t>
      </w:r>
    </w:p>
    <w:p w14:paraId="753AB98B">
      <w:pPr>
        <w:spacing w:line="400" w:lineRule="exact"/>
        <w:ind w:firstLine="480" w:firstLineChars="200"/>
        <w:rPr>
          <w:rFonts w:ascii="宋体" w:hAnsi="宋体"/>
          <w:color w:val="auto"/>
          <w:sz w:val="24"/>
        </w:rPr>
      </w:pPr>
      <w:r>
        <w:rPr>
          <w:rFonts w:hint="eastAsia" w:ascii="宋体" w:hAnsi="宋体"/>
          <w:color w:val="auto"/>
          <w:sz w:val="24"/>
        </w:rPr>
        <w:t>法定代表人（签字或盖章）：XXX</w:t>
      </w:r>
    </w:p>
    <w:p w14:paraId="4347C858">
      <w:pPr>
        <w:spacing w:line="400" w:lineRule="exact"/>
        <w:ind w:firstLine="480" w:firstLineChars="200"/>
        <w:rPr>
          <w:rFonts w:ascii="宋体" w:hAnsi="宋体"/>
          <w:color w:val="auto"/>
          <w:sz w:val="24"/>
        </w:rPr>
      </w:pPr>
      <w:r>
        <w:rPr>
          <w:rFonts w:hint="eastAsia" w:ascii="宋体" w:hAnsi="宋体"/>
          <w:color w:val="auto"/>
          <w:sz w:val="24"/>
        </w:rPr>
        <w:t>职    务：XXX</w:t>
      </w:r>
    </w:p>
    <w:p w14:paraId="26A7C138">
      <w:pPr>
        <w:spacing w:line="400" w:lineRule="exact"/>
        <w:ind w:firstLine="480" w:firstLineChars="200"/>
        <w:rPr>
          <w:rFonts w:ascii="宋体" w:hAnsi="宋体"/>
          <w:color w:val="auto"/>
          <w:sz w:val="24"/>
        </w:rPr>
      </w:pPr>
      <w:r>
        <w:rPr>
          <w:rFonts w:hint="eastAsia" w:ascii="宋体" w:hAnsi="宋体"/>
          <w:color w:val="auto"/>
          <w:sz w:val="24"/>
        </w:rPr>
        <w:t>授权代表签字：XXX</w:t>
      </w:r>
    </w:p>
    <w:p w14:paraId="068EE5C9">
      <w:pPr>
        <w:spacing w:line="400" w:lineRule="exact"/>
        <w:ind w:firstLine="480" w:firstLineChars="200"/>
        <w:rPr>
          <w:rFonts w:ascii="宋体" w:hAnsi="宋体"/>
          <w:color w:val="auto"/>
          <w:sz w:val="24"/>
        </w:rPr>
      </w:pPr>
      <w:r>
        <w:rPr>
          <w:rFonts w:hint="eastAsia" w:ascii="宋体" w:hAnsi="宋体"/>
          <w:color w:val="auto"/>
          <w:sz w:val="24"/>
        </w:rPr>
        <w:t>职    务：XXX</w:t>
      </w:r>
    </w:p>
    <w:p w14:paraId="5C7BAA97">
      <w:pPr>
        <w:spacing w:line="400" w:lineRule="exact"/>
        <w:ind w:firstLine="480" w:firstLineChars="200"/>
        <w:rPr>
          <w:rFonts w:ascii="宋体" w:hAnsi="宋体"/>
          <w:color w:val="auto"/>
          <w:sz w:val="24"/>
        </w:rPr>
      </w:pPr>
      <w:r>
        <w:rPr>
          <w:rFonts w:hint="eastAsia" w:ascii="宋体" w:hAnsi="宋体"/>
          <w:color w:val="auto"/>
          <w:sz w:val="24"/>
        </w:rPr>
        <w:t>日    期：XXX年XXX月XXX日</w:t>
      </w:r>
    </w:p>
    <w:p w14:paraId="3F8BE669">
      <w:pPr>
        <w:spacing w:line="400" w:lineRule="exact"/>
        <w:rPr>
          <w:color w:val="auto"/>
          <w:sz w:val="24"/>
        </w:rPr>
      </w:pPr>
    </w:p>
    <w:p w14:paraId="12FF5EE9">
      <w:pPr>
        <w:spacing w:line="400" w:lineRule="exact"/>
        <w:rPr>
          <w:color w:val="auto"/>
          <w:sz w:val="32"/>
        </w:rPr>
      </w:pPr>
    </w:p>
    <w:p w14:paraId="0184D66D">
      <w:pPr>
        <w:spacing w:line="400" w:lineRule="exact"/>
        <w:rPr>
          <w:color w:val="auto"/>
          <w:sz w:val="32"/>
        </w:rPr>
      </w:pPr>
    </w:p>
    <w:p w14:paraId="40EF6E96">
      <w:pPr>
        <w:spacing w:line="400" w:lineRule="exact"/>
        <w:rPr>
          <w:color w:val="auto"/>
          <w:sz w:val="32"/>
        </w:rPr>
      </w:pPr>
    </w:p>
    <w:p w14:paraId="1C753639">
      <w:pPr>
        <w:spacing w:line="400" w:lineRule="exact"/>
        <w:rPr>
          <w:color w:val="auto"/>
          <w:sz w:val="32"/>
        </w:rPr>
      </w:pPr>
    </w:p>
    <w:p w14:paraId="5F29BB14">
      <w:pPr>
        <w:spacing w:line="400" w:lineRule="exact"/>
        <w:rPr>
          <w:color w:val="auto"/>
          <w:sz w:val="32"/>
        </w:rPr>
      </w:pPr>
    </w:p>
    <w:p w14:paraId="508A55AA">
      <w:pPr>
        <w:spacing w:line="400" w:lineRule="exact"/>
        <w:rPr>
          <w:color w:val="auto"/>
          <w:sz w:val="32"/>
        </w:rPr>
      </w:pPr>
    </w:p>
    <w:p w14:paraId="5F0EB7F6">
      <w:pPr>
        <w:spacing w:line="400" w:lineRule="exact"/>
        <w:rPr>
          <w:color w:val="auto"/>
          <w:sz w:val="32"/>
        </w:rPr>
      </w:pPr>
    </w:p>
    <w:p w14:paraId="4C841CBB">
      <w:pPr>
        <w:spacing w:line="400" w:lineRule="exact"/>
        <w:rPr>
          <w:color w:val="auto"/>
          <w:sz w:val="32"/>
        </w:rPr>
      </w:pPr>
    </w:p>
    <w:p w14:paraId="39ADF0FB">
      <w:pPr>
        <w:jc w:val="center"/>
        <w:rPr>
          <w:rFonts w:ascii="宋体" w:hAnsi="宋体" w:cs="Arial"/>
          <w:b/>
          <w:bCs/>
          <w:color w:val="auto"/>
          <w:sz w:val="32"/>
          <w:szCs w:val="32"/>
        </w:rPr>
      </w:pPr>
      <w:r>
        <w:rPr>
          <w:rFonts w:hint="eastAsia" w:ascii="宋体" w:hAnsi="宋体" w:cs="Arial"/>
          <w:b/>
          <w:bCs/>
          <w:color w:val="auto"/>
          <w:sz w:val="32"/>
          <w:szCs w:val="32"/>
        </w:rPr>
        <w:br w:type="page"/>
      </w:r>
      <w:r>
        <w:rPr>
          <w:rFonts w:hint="eastAsia" w:ascii="宋体" w:hAnsi="宋体" w:cs="Arial"/>
          <w:b/>
          <w:bCs/>
          <w:color w:val="auto"/>
          <w:sz w:val="32"/>
          <w:szCs w:val="32"/>
        </w:rPr>
        <w:t>二、供应商基本情况表</w:t>
      </w:r>
    </w:p>
    <w:p w14:paraId="58A40F34">
      <w:pPr>
        <w:jc w:val="center"/>
        <w:rPr>
          <w:rFonts w:ascii="宋体" w:hAnsi="宋体" w:cs="Arial"/>
          <w:b/>
          <w:bCs/>
          <w:color w:val="auto"/>
          <w:sz w:val="32"/>
          <w:szCs w:val="32"/>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0499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51B51A02">
            <w:pPr>
              <w:jc w:val="center"/>
              <w:rPr>
                <w:rFonts w:ascii="宋体" w:hAnsi="宋体" w:cs="Arial"/>
                <w:bCs/>
                <w:color w:val="auto"/>
              </w:rPr>
            </w:pPr>
            <w:r>
              <w:rPr>
                <w:rFonts w:hint="eastAsia" w:ascii="宋体" w:hAnsi="宋体" w:cs="Arial"/>
                <w:bCs/>
                <w:color w:val="auto"/>
              </w:rPr>
              <w:t>供应商名称</w:t>
            </w:r>
          </w:p>
        </w:tc>
        <w:tc>
          <w:tcPr>
            <w:tcW w:w="7560" w:type="dxa"/>
            <w:gridSpan w:val="11"/>
            <w:vAlign w:val="center"/>
          </w:tcPr>
          <w:p w14:paraId="245430BD">
            <w:pPr>
              <w:jc w:val="center"/>
              <w:rPr>
                <w:rFonts w:ascii="宋体" w:hAnsi="宋体" w:cs="Arial"/>
                <w:bCs/>
                <w:color w:val="auto"/>
              </w:rPr>
            </w:pPr>
          </w:p>
        </w:tc>
      </w:tr>
      <w:tr w14:paraId="2501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209E3B1E">
            <w:pPr>
              <w:jc w:val="center"/>
              <w:rPr>
                <w:rFonts w:ascii="宋体" w:hAnsi="宋体" w:cs="Arial"/>
                <w:bCs/>
                <w:color w:val="auto"/>
              </w:rPr>
            </w:pPr>
            <w:r>
              <w:rPr>
                <w:rFonts w:hint="eastAsia" w:ascii="宋体" w:hAnsi="宋体" w:cs="Arial"/>
                <w:bCs/>
                <w:color w:val="auto"/>
              </w:rPr>
              <w:t>注册地址</w:t>
            </w:r>
          </w:p>
        </w:tc>
        <w:tc>
          <w:tcPr>
            <w:tcW w:w="4680" w:type="dxa"/>
            <w:gridSpan w:val="6"/>
            <w:vAlign w:val="center"/>
          </w:tcPr>
          <w:p w14:paraId="5A29D9B6">
            <w:pPr>
              <w:jc w:val="center"/>
              <w:rPr>
                <w:rFonts w:ascii="宋体" w:hAnsi="宋体" w:cs="Arial"/>
                <w:bCs/>
                <w:color w:val="auto"/>
              </w:rPr>
            </w:pPr>
          </w:p>
        </w:tc>
        <w:tc>
          <w:tcPr>
            <w:tcW w:w="1260" w:type="dxa"/>
            <w:gridSpan w:val="3"/>
            <w:vAlign w:val="center"/>
          </w:tcPr>
          <w:p w14:paraId="5EC2E234">
            <w:pPr>
              <w:jc w:val="center"/>
              <w:rPr>
                <w:rFonts w:ascii="宋体" w:hAnsi="宋体" w:cs="Arial"/>
                <w:bCs/>
                <w:color w:val="auto"/>
              </w:rPr>
            </w:pPr>
            <w:r>
              <w:rPr>
                <w:rFonts w:hint="eastAsia" w:ascii="宋体" w:hAnsi="宋体" w:cs="Arial"/>
                <w:bCs/>
                <w:color w:val="auto"/>
              </w:rPr>
              <w:t>邮政编码</w:t>
            </w:r>
          </w:p>
        </w:tc>
        <w:tc>
          <w:tcPr>
            <w:tcW w:w="1620" w:type="dxa"/>
            <w:gridSpan w:val="2"/>
            <w:vAlign w:val="center"/>
          </w:tcPr>
          <w:p w14:paraId="6B2828E7">
            <w:pPr>
              <w:jc w:val="center"/>
              <w:rPr>
                <w:rFonts w:ascii="宋体" w:hAnsi="宋体" w:cs="Arial"/>
                <w:bCs/>
                <w:color w:val="auto"/>
              </w:rPr>
            </w:pPr>
          </w:p>
        </w:tc>
      </w:tr>
      <w:tr w14:paraId="0E49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5A9A0C1C">
            <w:pPr>
              <w:jc w:val="center"/>
              <w:rPr>
                <w:rFonts w:ascii="宋体" w:hAnsi="宋体" w:cs="Arial"/>
                <w:bCs/>
                <w:color w:val="auto"/>
              </w:rPr>
            </w:pPr>
            <w:r>
              <w:rPr>
                <w:rFonts w:hint="eastAsia" w:ascii="宋体" w:hAnsi="宋体" w:cs="Arial"/>
                <w:bCs/>
                <w:color w:val="auto"/>
              </w:rPr>
              <w:t>联系方式</w:t>
            </w:r>
          </w:p>
        </w:tc>
        <w:tc>
          <w:tcPr>
            <w:tcW w:w="1080" w:type="dxa"/>
            <w:vAlign w:val="center"/>
          </w:tcPr>
          <w:p w14:paraId="12D52F59">
            <w:pPr>
              <w:jc w:val="center"/>
              <w:rPr>
                <w:rFonts w:ascii="宋体" w:hAnsi="宋体" w:cs="Arial"/>
                <w:bCs/>
                <w:color w:val="auto"/>
              </w:rPr>
            </w:pPr>
            <w:r>
              <w:rPr>
                <w:rFonts w:hint="eastAsia" w:ascii="宋体" w:hAnsi="宋体" w:cs="Arial"/>
                <w:bCs/>
                <w:color w:val="auto"/>
              </w:rPr>
              <w:t>联系人</w:t>
            </w:r>
          </w:p>
        </w:tc>
        <w:tc>
          <w:tcPr>
            <w:tcW w:w="3600" w:type="dxa"/>
            <w:gridSpan w:val="5"/>
            <w:vAlign w:val="center"/>
          </w:tcPr>
          <w:p w14:paraId="6A2868ED">
            <w:pPr>
              <w:jc w:val="center"/>
              <w:rPr>
                <w:rFonts w:ascii="宋体" w:hAnsi="宋体" w:cs="Arial"/>
                <w:bCs/>
                <w:color w:val="auto"/>
              </w:rPr>
            </w:pPr>
          </w:p>
        </w:tc>
        <w:tc>
          <w:tcPr>
            <w:tcW w:w="1260" w:type="dxa"/>
            <w:gridSpan w:val="3"/>
            <w:vAlign w:val="center"/>
          </w:tcPr>
          <w:p w14:paraId="3D99F949">
            <w:pPr>
              <w:jc w:val="center"/>
              <w:rPr>
                <w:rFonts w:ascii="宋体" w:hAnsi="宋体" w:cs="Arial"/>
                <w:bCs/>
                <w:color w:val="auto"/>
              </w:rPr>
            </w:pPr>
            <w:r>
              <w:rPr>
                <w:rFonts w:hint="eastAsia" w:ascii="宋体" w:hAnsi="宋体" w:cs="Arial"/>
                <w:bCs/>
                <w:color w:val="auto"/>
              </w:rPr>
              <w:t>联系电话</w:t>
            </w:r>
          </w:p>
        </w:tc>
        <w:tc>
          <w:tcPr>
            <w:tcW w:w="1620" w:type="dxa"/>
            <w:gridSpan w:val="2"/>
            <w:vAlign w:val="center"/>
          </w:tcPr>
          <w:p w14:paraId="1987BEFB">
            <w:pPr>
              <w:jc w:val="center"/>
              <w:rPr>
                <w:rFonts w:ascii="宋体" w:hAnsi="宋体" w:cs="Arial"/>
                <w:bCs/>
                <w:color w:val="auto"/>
              </w:rPr>
            </w:pPr>
          </w:p>
        </w:tc>
      </w:tr>
      <w:tr w14:paraId="67F0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FE918CA">
            <w:pPr>
              <w:jc w:val="center"/>
              <w:rPr>
                <w:rFonts w:ascii="宋体" w:hAnsi="宋体" w:cs="Arial"/>
                <w:bCs/>
                <w:color w:val="auto"/>
              </w:rPr>
            </w:pPr>
          </w:p>
        </w:tc>
        <w:tc>
          <w:tcPr>
            <w:tcW w:w="1080" w:type="dxa"/>
            <w:vAlign w:val="center"/>
          </w:tcPr>
          <w:p w14:paraId="74095912">
            <w:pPr>
              <w:jc w:val="center"/>
              <w:rPr>
                <w:rFonts w:ascii="宋体" w:hAnsi="宋体" w:cs="Arial"/>
                <w:bCs/>
                <w:color w:val="auto"/>
              </w:rPr>
            </w:pPr>
            <w:r>
              <w:rPr>
                <w:rFonts w:hint="eastAsia" w:ascii="宋体" w:hAnsi="宋体" w:cs="Arial"/>
                <w:bCs/>
                <w:color w:val="auto"/>
              </w:rPr>
              <w:t>传真</w:t>
            </w:r>
          </w:p>
        </w:tc>
        <w:tc>
          <w:tcPr>
            <w:tcW w:w="3600" w:type="dxa"/>
            <w:gridSpan w:val="5"/>
            <w:vAlign w:val="center"/>
          </w:tcPr>
          <w:p w14:paraId="3D316C6C">
            <w:pPr>
              <w:jc w:val="center"/>
              <w:rPr>
                <w:rFonts w:ascii="宋体" w:hAnsi="宋体" w:cs="Arial"/>
                <w:bCs/>
                <w:color w:val="auto"/>
              </w:rPr>
            </w:pPr>
          </w:p>
        </w:tc>
        <w:tc>
          <w:tcPr>
            <w:tcW w:w="1260" w:type="dxa"/>
            <w:gridSpan w:val="3"/>
            <w:vAlign w:val="center"/>
          </w:tcPr>
          <w:p w14:paraId="32624C13">
            <w:pPr>
              <w:jc w:val="center"/>
              <w:rPr>
                <w:rFonts w:ascii="宋体" w:hAnsi="宋体" w:cs="Arial"/>
                <w:bCs/>
                <w:color w:val="auto"/>
              </w:rPr>
            </w:pPr>
            <w:r>
              <w:rPr>
                <w:rFonts w:hint="eastAsia" w:ascii="宋体" w:hAnsi="宋体" w:cs="Arial"/>
                <w:bCs/>
                <w:color w:val="auto"/>
              </w:rPr>
              <w:t>网址</w:t>
            </w:r>
          </w:p>
        </w:tc>
        <w:tc>
          <w:tcPr>
            <w:tcW w:w="1620" w:type="dxa"/>
            <w:gridSpan w:val="2"/>
            <w:vAlign w:val="center"/>
          </w:tcPr>
          <w:p w14:paraId="56BD50A7">
            <w:pPr>
              <w:jc w:val="center"/>
              <w:rPr>
                <w:rFonts w:ascii="宋体" w:hAnsi="宋体" w:cs="Arial"/>
                <w:bCs/>
                <w:color w:val="auto"/>
              </w:rPr>
            </w:pPr>
          </w:p>
        </w:tc>
      </w:tr>
      <w:tr w14:paraId="24CB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58189017">
            <w:pPr>
              <w:jc w:val="center"/>
              <w:rPr>
                <w:rFonts w:ascii="宋体" w:hAnsi="宋体" w:cs="Arial"/>
                <w:bCs/>
                <w:color w:val="auto"/>
              </w:rPr>
            </w:pPr>
            <w:r>
              <w:rPr>
                <w:rFonts w:hint="eastAsia" w:ascii="宋体" w:hAnsi="宋体" w:cs="Arial"/>
                <w:bCs/>
                <w:color w:val="auto"/>
              </w:rPr>
              <w:t>组织结构</w:t>
            </w:r>
          </w:p>
        </w:tc>
        <w:tc>
          <w:tcPr>
            <w:tcW w:w="7560" w:type="dxa"/>
            <w:gridSpan w:val="11"/>
            <w:vAlign w:val="center"/>
          </w:tcPr>
          <w:p w14:paraId="0CFEB28F">
            <w:pPr>
              <w:jc w:val="center"/>
              <w:rPr>
                <w:rFonts w:ascii="宋体" w:hAnsi="宋体" w:cs="Arial"/>
                <w:bCs/>
                <w:color w:val="auto"/>
              </w:rPr>
            </w:pPr>
          </w:p>
        </w:tc>
      </w:tr>
      <w:tr w14:paraId="3AB7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3D57078">
            <w:pPr>
              <w:jc w:val="center"/>
              <w:rPr>
                <w:rFonts w:ascii="宋体" w:hAnsi="宋体" w:cs="Arial"/>
                <w:bCs/>
                <w:color w:val="auto"/>
              </w:rPr>
            </w:pPr>
            <w:r>
              <w:rPr>
                <w:rFonts w:hint="eastAsia" w:ascii="宋体" w:hAnsi="宋体" w:cs="Arial"/>
                <w:bCs/>
                <w:color w:val="auto"/>
              </w:rPr>
              <w:t>法定代表人</w:t>
            </w:r>
          </w:p>
        </w:tc>
        <w:tc>
          <w:tcPr>
            <w:tcW w:w="1260" w:type="dxa"/>
            <w:gridSpan w:val="2"/>
            <w:vAlign w:val="center"/>
          </w:tcPr>
          <w:p w14:paraId="5EAC896A">
            <w:pPr>
              <w:jc w:val="center"/>
              <w:rPr>
                <w:rFonts w:ascii="宋体" w:hAnsi="宋体" w:cs="Arial"/>
                <w:bCs/>
                <w:color w:val="auto"/>
              </w:rPr>
            </w:pPr>
            <w:r>
              <w:rPr>
                <w:rFonts w:hint="eastAsia" w:ascii="宋体" w:hAnsi="宋体" w:cs="Arial"/>
                <w:bCs/>
                <w:color w:val="auto"/>
              </w:rPr>
              <w:t>姓名</w:t>
            </w:r>
          </w:p>
        </w:tc>
        <w:tc>
          <w:tcPr>
            <w:tcW w:w="1260" w:type="dxa"/>
            <w:vAlign w:val="center"/>
          </w:tcPr>
          <w:p w14:paraId="07CE85FC">
            <w:pPr>
              <w:jc w:val="center"/>
              <w:rPr>
                <w:rFonts w:ascii="宋体" w:hAnsi="宋体" w:cs="Arial"/>
                <w:bCs/>
                <w:color w:val="auto"/>
              </w:rPr>
            </w:pPr>
          </w:p>
        </w:tc>
        <w:tc>
          <w:tcPr>
            <w:tcW w:w="1260" w:type="dxa"/>
            <w:vAlign w:val="center"/>
          </w:tcPr>
          <w:p w14:paraId="7C23F35F">
            <w:pPr>
              <w:jc w:val="center"/>
              <w:rPr>
                <w:rFonts w:ascii="宋体" w:hAnsi="宋体" w:cs="Arial"/>
                <w:bCs/>
                <w:color w:val="auto"/>
              </w:rPr>
            </w:pPr>
            <w:r>
              <w:rPr>
                <w:rFonts w:hint="eastAsia" w:ascii="宋体" w:hAnsi="宋体" w:cs="Arial"/>
                <w:bCs/>
                <w:color w:val="auto"/>
              </w:rPr>
              <w:t>技术职称</w:t>
            </w:r>
          </w:p>
        </w:tc>
        <w:tc>
          <w:tcPr>
            <w:tcW w:w="1260" w:type="dxa"/>
            <w:gridSpan w:val="3"/>
            <w:vAlign w:val="center"/>
          </w:tcPr>
          <w:p w14:paraId="2DDE982C">
            <w:pPr>
              <w:jc w:val="center"/>
              <w:rPr>
                <w:rFonts w:ascii="宋体" w:hAnsi="宋体" w:cs="Arial"/>
                <w:bCs/>
                <w:color w:val="auto"/>
              </w:rPr>
            </w:pPr>
          </w:p>
        </w:tc>
        <w:tc>
          <w:tcPr>
            <w:tcW w:w="1260" w:type="dxa"/>
            <w:gridSpan w:val="3"/>
            <w:vAlign w:val="center"/>
          </w:tcPr>
          <w:p w14:paraId="12C30F37">
            <w:pPr>
              <w:jc w:val="center"/>
              <w:rPr>
                <w:rFonts w:ascii="宋体" w:hAnsi="宋体" w:cs="Arial"/>
                <w:bCs/>
                <w:color w:val="auto"/>
              </w:rPr>
            </w:pPr>
            <w:r>
              <w:rPr>
                <w:rFonts w:hint="eastAsia" w:ascii="宋体" w:hAnsi="宋体" w:cs="Arial"/>
                <w:bCs/>
                <w:color w:val="auto"/>
              </w:rPr>
              <w:t>联系电话</w:t>
            </w:r>
          </w:p>
        </w:tc>
        <w:tc>
          <w:tcPr>
            <w:tcW w:w="1260" w:type="dxa"/>
            <w:vAlign w:val="center"/>
          </w:tcPr>
          <w:p w14:paraId="79160A37">
            <w:pPr>
              <w:jc w:val="center"/>
              <w:rPr>
                <w:rFonts w:ascii="宋体" w:hAnsi="宋体" w:cs="Arial"/>
                <w:bCs/>
                <w:color w:val="auto"/>
              </w:rPr>
            </w:pPr>
          </w:p>
        </w:tc>
      </w:tr>
      <w:tr w14:paraId="5482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71FB739F">
            <w:pPr>
              <w:jc w:val="center"/>
              <w:rPr>
                <w:rFonts w:ascii="宋体" w:hAnsi="宋体" w:cs="Arial"/>
                <w:bCs/>
                <w:color w:val="auto"/>
              </w:rPr>
            </w:pPr>
            <w:r>
              <w:rPr>
                <w:rFonts w:hint="eastAsia" w:ascii="宋体" w:hAnsi="宋体" w:cs="Arial"/>
                <w:bCs/>
                <w:color w:val="auto"/>
              </w:rPr>
              <w:t>技术负责人</w:t>
            </w:r>
          </w:p>
        </w:tc>
        <w:tc>
          <w:tcPr>
            <w:tcW w:w="1260" w:type="dxa"/>
            <w:gridSpan w:val="2"/>
            <w:vAlign w:val="center"/>
          </w:tcPr>
          <w:p w14:paraId="5763F4BB">
            <w:pPr>
              <w:jc w:val="center"/>
              <w:rPr>
                <w:rFonts w:ascii="宋体" w:hAnsi="宋体" w:cs="Arial"/>
                <w:bCs/>
                <w:color w:val="auto"/>
              </w:rPr>
            </w:pPr>
            <w:r>
              <w:rPr>
                <w:rFonts w:hint="eastAsia" w:ascii="宋体" w:hAnsi="宋体" w:cs="Arial"/>
                <w:bCs/>
                <w:color w:val="auto"/>
              </w:rPr>
              <w:t>姓名</w:t>
            </w:r>
          </w:p>
        </w:tc>
        <w:tc>
          <w:tcPr>
            <w:tcW w:w="1260" w:type="dxa"/>
            <w:vAlign w:val="center"/>
          </w:tcPr>
          <w:p w14:paraId="0FB8F573">
            <w:pPr>
              <w:jc w:val="center"/>
              <w:rPr>
                <w:rFonts w:ascii="宋体" w:hAnsi="宋体" w:cs="Arial"/>
                <w:bCs/>
                <w:color w:val="auto"/>
              </w:rPr>
            </w:pPr>
          </w:p>
        </w:tc>
        <w:tc>
          <w:tcPr>
            <w:tcW w:w="1260" w:type="dxa"/>
            <w:vAlign w:val="center"/>
          </w:tcPr>
          <w:p w14:paraId="37FC2C46">
            <w:pPr>
              <w:jc w:val="center"/>
              <w:rPr>
                <w:rFonts w:ascii="宋体" w:hAnsi="宋体" w:cs="Arial"/>
                <w:bCs/>
                <w:color w:val="auto"/>
              </w:rPr>
            </w:pPr>
            <w:r>
              <w:rPr>
                <w:rFonts w:hint="eastAsia" w:ascii="宋体" w:hAnsi="宋体" w:cs="Arial"/>
                <w:bCs/>
                <w:color w:val="auto"/>
              </w:rPr>
              <w:t>技术职称</w:t>
            </w:r>
          </w:p>
        </w:tc>
        <w:tc>
          <w:tcPr>
            <w:tcW w:w="1260" w:type="dxa"/>
            <w:gridSpan w:val="3"/>
            <w:vAlign w:val="center"/>
          </w:tcPr>
          <w:p w14:paraId="04D130A1">
            <w:pPr>
              <w:jc w:val="center"/>
              <w:rPr>
                <w:rFonts w:ascii="宋体" w:hAnsi="宋体" w:cs="Arial"/>
                <w:bCs/>
                <w:color w:val="auto"/>
              </w:rPr>
            </w:pPr>
          </w:p>
        </w:tc>
        <w:tc>
          <w:tcPr>
            <w:tcW w:w="1260" w:type="dxa"/>
            <w:gridSpan w:val="3"/>
            <w:vAlign w:val="center"/>
          </w:tcPr>
          <w:p w14:paraId="105E43BF">
            <w:pPr>
              <w:jc w:val="center"/>
              <w:rPr>
                <w:rFonts w:ascii="宋体" w:hAnsi="宋体" w:cs="Arial"/>
                <w:bCs/>
                <w:color w:val="auto"/>
              </w:rPr>
            </w:pPr>
            <w:r>
              <w:rPr>
                <w:rFonts w:hint="eastAsia" w:ascii="宋体" w:hAnsi="宋体" w:cs="Arial"/>
                <w:bCs/>
                <w:color w:val="auto"/>
              </w:rPr>
              <w:t>联系电话</w:t>
            </w:r>
          </w:p>
        </w:tc>
        <w:tc>
          <w:tcPr>
            <w:tcW w:w="1260" w:type="dxa"/>
            <w:vAlign w:val="center"/>
          </w:tcPr>
          <w:p w14:paraId="1F1017FD">
            <w:pPr>
              <w:jc w:val="center"/>
              <w:rPr>
                <w:rFonts w:ascii="宋体" w:hAnsi="宋体" w:cs="Arial"/>
                <w:bCs/>
                <w:color w:val="auto"/>
              </w:rPr>
            </w:pPr>
          </w:p>
        </w:tc>
      </w:tr>
      <w:tr w14:paraId="2279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B1079FD">
            <w:pPr>
              <w:jc w:val="center"/>
              <w:rPr>
                <w:rFonts w:ascii="宋体" w:hAnsi="宋体" w:cs="Arial"/>
                <w:bCs/>
                <w:color w:val="auto"/>
              </w:rPr>
            </w:pPr>
            <w:r>
              <w:rPr>
                <w:rFonts w:hint="eastAsia" w:ascii="宋体" w:hAnsi="宋体" w:cs="Arial"/>
                <w:bCs/>
                <w:color w:val="auto"/>
              </w:rPr>
              <w:t>成立时间</w:t>
            </w:r>
          </w:p>
        </w:tc>
        <w:tc>
          <w:tcPr>
            <w:tcW w:w="2520" w:type="dxa"/>
            <w:gridSpan w:val="3"/>
            <w:vAlign w:val="center"/>
          </w:tcPr>
          <w:p w14:paraId="10ABF268">
            <w:pPr>
              <w:jc w:val="center"/>
              <w:rPr>
                <w:rFonts w:ascii="宋体" w:hAnsi="宋体" w:cs="Arial"/>
                <w:bCs/>
                <w:color w:val="auto"/>
              </w:rPr>
            </w:pPr>
          </w:p>
        </w:tc>
        <w:tc>
          <w:tcPr>
            <w:tcW w:w="5040" w:type="dxa"/>
            <w:gridSpan w:val="8"/>
            <w:vAlign w:val="center"/>
          </w:tcPr>
          <w:p w14:paraId="77859E46">
            <w:pPr>
              <w:jc w:val="center"/>
              <w:rPr>
                <w:rFonts w:ascii="宋体" w:hAnsi="宋体" w:cs="Arial"/>
                <w:bCs/>
                <w:color w:val="auto"/>
              </w:rPr>
            </w:pPr>
            <w:r>
              <w:rPr>
                <w:rFonts w:hint="eastAsia" w:ascii="宋体" w:hAnsi="宋体" w:cs="Arial"/>
                <w:bCs/>
                <w:color w:val="auto"/>
              </w:rPr>
              <w:t>员工总人数：</w:t>
            </w:r>
          </w:p>
        </w:tc>
      </w:tr>
      <w:tr w14:paraId="16E5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1A5B4FF5">
            <w:pPr>
              <w:jc w:val="center"/>
              <w:rPr>
                <w:rFonts w:ascii="宋体" w:hAnsi="宋体" w:cs="Arial"/>
                <w:bCs/>
                <w:color w:val="auto"/>
              </w:rPr>
            </w:pPr>
            <w:r>
              <w:rPr>
                <w:rFonts w:hint="eastAsia" w:ascii="宋体" w:hAnsi="宋体" w:cs="Arial"/>
                <w:bCs/>
                <w:color w:val="auto"/>
              </w:rPr>
              <w:t>企业资质等级</w:t>
            </w:r>
          </w:p>
        </w:tc>
        <w:tc>
          <w:tcPr>
            <w:tcW w:w="2520" w:type="dxa"/>
            <w:gridSpan w:val="3"/>
            <w:vAlign w:val="center"/>
          </w:tcPr>
          <w:p w14:paraId="436EC7C6">
            <w:pPr>
              <w:jc w:val="center"/>
              <w:rPr>
                <w:rFonts w:ascii="宋体" w:hAnsi="宋体" w:cs="Arial"/>
                <w:bCs/>
                <w:color w:val="auto"/>
              </w:rPr>
            </w:pPr>
          </w:p>
        </w:tc>
        <w:tc>
          <w:tcPr>
            <w:tcW w:w="1680" w:type="dxa"/>
            <w:gridSpan w:val="2"/>
            <w:vMerge w:val="restart"/>
            <w:vAlign w:val="center"/>
          </w:tcPr>
          <w:p w14:paraId="189EE68D">
            <w:pPr>
              <w:jc w:val="center"/>
              <w:rPr>
                <w:rFonts w:ascii="宋体" w:hAnsi="宋体" w:cs="Arial"/>
                <w:bCs/>
                <w:color w:val="auto"/>
              </w:rPr>
            </w:pPr>
            <w:r>
              <w:rPr>
                <w:rFonts w:hint="eastAsia" w:ascii="宋体" w:hAnsi="宋体" w:cs="Arial"/>
                <w:bCs/>
                <w:color w:val="auto"/>
              </w:rPr>
              <w:t>其中</w:t>
            </w:r>
          </w:p>
        </w:tc>
        <w:tc>
          <w:tcPr>
            <w:tcW w:w="1680" w:type="dxa"/>
            <w:gridSpan w:val="3"/>
            <w:vAlign w:val="center"/>
          </w:tcPr>
          <w:p w14:paraId="3F08A9A8">
            <w:pPr>
              <w:jc w:val="center"/>
              <w:rPr>
                <w:rFonts w:ascii="宋体" w:hAnsi="宋体" w:cs="Arial"/>
                <w:bCs/>
                <w:color w:val="auto"/>
              </w:rPr>
            </w:pPr>
            <w:r>
              <w:rPr>
                <w:rFonts w:hint="eastAsia" w:ascii="宋体" w:hAnsi="宋体" w:cs="Arial"/>
                <w:bCs/>
                <w:color w:val="auto"/>
              </w:rPr>
              <w:t>项目经理</w:t>
            </w:r>
          </w:p>
        </w:tc>
        <w:tc>
          <w:tcPr>
            <w:tcW w:w="1680" w:type="dxa"/>
            <w:gridSpan w:val="3"/>
            <w:vAlign w:val="center"/>
          </w:tcPr>
          <w:p w14:paraId="18DBE891">
            <w:pPr>
              <w:jc w:val="center"/>
              <w:rPr>
                <w:rFonts w:ascii="宋体" w:hAnsi="宋体" w:cs="Arial"/>
                <w:bCs/>
                <w:color w:val="auto"/>
              </w:rPr>
            </w:pPr>
          </w:p>
        </w:tc>
      </w:tr>
      <w:tr w14:paraId="56EF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1EBB66AF">
            <w:pPr>
              <w:jc w:val="center"/>
              <w:rPr>
                <w:rFonts w:ascii="宋体" w:hAnsi="宋体" w:cs="Arial"/>
                <w:bCs/>
                <w:color w:val="auto"/>
              </w:rPr>
            </w:pPr>
            <w:r>
              <w:rPr>
                <w:rFonts w:hint="eastAsia" w:ascii="宋体" w:hAnsi="宋体" w:cs="Arial"/>
                <w:bCs/>
                <w:color w:val="auto"/>
              </w:rPr>
              <w:t>营业执照</w:t>
            </w:r>
            <w:r>
              <w:rPr>
                <w:rFonts w:hint="eastAsia"/>
                <w:color w:val="auto"/>
              </w:rPr>
              <w:t>号</w:t>
            </w:r>
          </w:p>
        </w:tc>
        <w:tc>
          <w:tcPr>
            <w:tcW w:w="2520" w:type="dxa"/>
            <w:gridSpan w:val="3"/>
            <w:vAlign w:val="center"/>
          </w:tcPr>
          <w:p w14:paraId="51731D27">
            <w:pPr>
              <w:jc w:val="center"/>
              <w:rPr>
                <w:rFonts w:ascii="宋体" w:hAnsi="宋体" w:cs="Arial"/>
                <w:bCs/>
                <w:color w:val="auto"/>
              </w:rPr>
            </w:pPr>
          </w:p>
        </w:tc>
        <w:tc>
          <w:tcPr>
            <w:tcW w:w="1680" w:type="dxa"/>
            <w:gridSpan w:val="2"/>
            <w:vMerge w:val="continue"/>
            <w:vAlign w:val="center"/>
          </w:tcPr>
          <w:p w14:paraId="5C301D40">
            <w:pPr>
              <w:jc w:val="center"/>
              <w:rPr>
                <w:rFonts w:ascii="宋体" w:hAnsi="宋体" w:cs="Arial"/>
                <w:bCs/>
                <w:color w:val="auto"/>
              </w:rPr>
            </w:pPr>
          </w:p>
        </w:tc>
        <w:tc>
          <w:tcPr>
            <w:tcW w:w="1680" w:type="dxa"/>
            <w:gridSpan w:val="3"/>
            <w:vAlign w:val="center"/>
          </w:tcPr>
          <w:p w14:paraId="7DE18046">
            <w:pPr>
              <w:jc w:val="center"/>
              <w:rPr>
                <w:rFonts w:ascii="宋体" w:hAnsi="宋体" w:cs="Arial"/>
                <w:bCs/>
                <w:color w:val="auto"/>
              </w:rPr>
            </w:pPr>
            <w:r>
              <w:rPr>
                <w:rFonts w:hint="eastAsia" w:ascii="宋体" w:hAnsi="宋体" w:cs="Arial"/>
                <w:bCs/>
                <w:color w:val="auto"/>
              </w:rPr>
              <w:t>高级职称人员</w:t>
            </w:r>
          </w:p>
        </w:tc>
        <w:tc>
          <w:tcPr>
            <w:tcW w:w="1680" w:type="dxa"/>
            <w:gridSpan w:val="3"/>
            <w:vAlign w:val="center"/>
          </w:tcPr>
          <w:p w14:paraId="1A6F1332">
            <w:pPr>
              <w:jc w:val="center"/>
              <w:rPr>
                <w:rFonts w:ascii="宋体" w:hAnsi="宋体" w:cs="Arial"/>
                <w:bCs/>
                <w:color w:val="auto"/>
              </w:rPr>
            </w:pPr>
          </w:p>
        </w:tc>
      </w:tr>
      <w:tr w14:paraId="24F1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69DBDA8">
            <w:pPr>
              <w:jc w:val="center"/>
              <w:rPr>
                <w:rFonts w:ascii="宋体" w:hAnsi="宋体" w:cs="Arial"/>
                <w:bCs/>
                <w:color w:val="auto"/>
              </w:rPr>
            </w:pPr>
            <w:r>
              <w:rPr>
                <w:rFonts w:hint="eastAsia" w:ascii="宋体" w:hAnsi="宋体" w:cs="Arial"/>
                <w:bCs/>
                <w:color w:val="auto"/>
              </w:rPr>
              <w:t>注册资金</w:t>
            </w:r>
          </w:p>
        </w:tc>
        <w:tc>
          <w:tcPr>
            <w:tcW w:w="2520" w:type="dxa"/>
            <w:gridSpan w:val="3"/>
            <w:vAlign w:val="center"/>
          </w:tcPr>
          <w:p w14:paraId="51F07E9A">
            <w:pPr>
              <w:jc w:val="center"/>
              <w:rPr>
                <w:rFonts w:ascii="宋体" w:hAnsi="宋体" w:cs="Arial"/>
                <w:bCs/>
                <w:color w:val="auto"/>
              </w:rPr>
            </w:pPr>
          </w:p>
        </w:tc>
        <w:tc>
          <w:tcPr>
            <w:tcW w:w="1680" w:type="dxa"/>
            <w:gridSpan w:val="2"/>
            <w:vMerge w:val="continue"/>
            <w:vAlign w:val="center"/>
          </w:tcPr>
          <w:p w14:paraId="7B28CE1F">
            <w:pPr>
              <w:jc w:val="center"/>
              <w:rPr>
                <w:rFonts w:ascii="宋体" w:hAnsi="宋体" w:cs="Arial"/>
                <w:bCs/>
                <w:color w:val="auto"/>
              </w:rPr>
            </w:pPr>
          </w:p>
        </w:tc>
        <w:tc>
          <w:tcPr>
            <w:tcW w:w="1680" w:type="dxa"/>
            <w:gridSpan w:val="3"/>
            <w:vAlign w:val="center"/>
          </w:tcPr>
          <w:p w14:paraId="43277B36">
            <w:pPr>
              <w:jc w:val="center"/>
              <w:rPr>
                <w:rFonts w:ascii="宋体" w:hAnsi="宋体" w:cs="Arial"/>
                <w:bCs/>
                <w:color w:val="auto"/>
              </w:rPr>
            </w:pPr>
            <w:r>
              <w:rPr>
                <w:rFonts w:hint="eastAsia" w:ascii="宋体" w:hAnsi="宋体" w:cs="Arial"/>
                <w:bCs/>
                <w:color w:val="auto"/>
              </w:rPr>
              <w:t>中级职称人员</w:t>
            </w:r>
          </w:p>
        </w:tc>
        <w:tc>
          <w:tcPr>
            <w:tcW w:w="1680" w:type="dxa"/>
            <w:gridSpan w:val="3"/>
            <w:vAlign w:val="center"/>
          </w:tcPr>
          <w:p w14:paraId="2A8DF022">
            <w:pPr>
              <w:jc w:val="center"/>
              <w:rPr>
                <w:rFonts w:ascii="宋体" w:hAnsi="宋体" w:cs="Arial"/>
                <w:bCs/>
                <w:color w:val="auto"/>
              </w:rPr>
            </w:pPr>
          </w:p>
        </w:tc>
      </w:tr>
      <w:tr w14:paraId="4A77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03732CE9">
            <w:pPr>
              <w:jc w:val="center"/>
              <w:rPr>
                <w:rFonts w:ascii="宋体" w:hAnsi="宋体" w:cs="Arial"/>
                <w:bCs/>
                <w:color w:val="auto"/>
              </w:rPr>
            </w:pPr>
            <w:r>
              <w:rPr>
                <w:rFonts w:hint="eastAsia" w:ascii="宋体" w:hAnsi="宋体" w:cs="Arial"/>
                <w:bCs/>
                <w:color w:val="auto"/>
              </w:rPr>
              <w:t>开户银行</w:t>
            </w:r>
          </w:p>
        </w:tc>
        <w:tc>
          <w:tcPr>
            <w:tcW w:w="2520" w:type="dxa"/>
            <w:gridSpan w:val="3"/>
            <w:vAlign w:val="center"/>
          </w:tcPr>
          <w:p w14:paraId="3BE895CA">
            <w:pPr>
              <w:jc w:val="center"/>
              <w:rPr>
                <w:rFonts w:ascii="宋体" w:hAnsi="宋体" w:cs="Arial"/>
                <w:bCs/>
                <w:color w:val="auto"/>
              </w:rPr>
            </w:pPr>
          </w:p>
        </w:tc>
        <w:tc>
          <w:tcPr>
            <w:tcW w:w="1680" w:type="dxa"/>
            <w:gridSpan w:val="2"/>
            <w:vMerge w:val="continue"/>
            <w:vAlign w:val="center"/>
          </w:tcPr>
          <w:p w14:paraId="42FF6710">
            <w:pPr>
              <w:jc w:val="center"/>
              <w:rPr>
                <w:rFonts w:ascii="宋体" w:hAnsi="宋体" w:cs="Arial"/>
                <w:bCs/>
                <w:color w:val="auto"/>
              </w:rPr>
            </w:pPr>
          </w:p>
        </w:tc>
        <w:tc>
          <w:tcPr>
            <w:tcW w:w="1680" w:type="dxa"/>
            <w:gridSpan w:val="3"/>
            <w:vAlign w:val="center"/>
          </w:tcPr>
          <w:p w14:paraId="47F1B35A">
            <w:pPr>
              <w:jc w:val="center"/>
              <w:rPr>
                <w:rFonts w:ascii="宋体" w:hAnsi="宋体" w:cs="Arial"/>
                <w:bCs/>
                <w:color w:val="auto"/>
              </w:rPr>
            </w:pPr>
            <w:r>
              <w:rPr>
                <w:rFonts w:hint="eastAsia" w:ascii="宋体" w:hAnsi="宋体" w:cs="Arial"/>
                <w:bCs/>
                <w:color w:val="auto"/>
              </w:rPr>
              <w:t>初级职称人员</w:t>
            </w:r>
          </w:p>
        </w:tc>
        <w:tc>
          <w:tcPr>
            <w:tcW w:w="1680" w:type="dxa"/>
            <w:gridSpan w:val="3"/>
            <w:vAlign w:val="center"/>
          </w:tcPr>
          <w:p w14:paraId="51315291">
            <w:pPr>
              <w:jc w:val="center"/>
              <w:rPr>
                <w:rFonts w:ascii="宋体" w:hAnsi="宋体" w:cs="Arial"/>
                <w:bCs/>
                <w:color w:val="auto"/>
              </w:rPr>
            </w:pPr>
          </w:p>
        </w:tc>
      </w:tr>
      <w:tr w14:paraId="3556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72617095">
            <w:pPr>
              <w:jc w:val="center"/>
              <w:rPr>
                <w:rFonts w:ascii="宋体" w:hAnsi="宋体" w:cs="Arial"/>
                <w:bCs/>
                <w:color w:val="auto"/>
              </w:rPr>
            </w:pPr>
            <w:r>
              <w:rPr>
                <w:rFonts w:hint="eastAsia" w:ascii="宋体" w:hAnsi="宋体" w:cs="Arial"/>
                <w:bCs/>
                <w:color w:val="auto"/>
              </w:rPr>
              <w:t>账号</w:t>
            </w:r>
          </w:p>
        </w:tc>
        <w:tc>
          <w:tcPr>
            <w:tcW w:w="2520" w:type="dxa"/>
            <w:gridSpan w:val="3"/>
            <w:vAlign w:val="center"/>
          </w:tcPr>
          <w:p w14:paraId="53C4BFC9">
            <w:pPr>
              <w:jc w:val="center"/>
              <w:rPr>
                <w:rFonts w:ascii="宋体" w:hAnsi="宋体" w:cs="Arial"/>
                <w:bCs/>
                <w:color w:val="auto"/>
              </w:rPr>
            </w:pPr>
          </w:p>
        </w:tc>
        <w:tc>
          <w:tcPr>
            <w:tcW w:w="1680" w:type="dxa"/>
            <w:gridSpan w:val="2"/>
            <w:vMerge w:val="continue"/>
            <w:vAlign w:val="center"/>
          </w:tcPr>
          <w:p w14:paraId="458DD5E6">
            <w:pPr>
              <w:jc w:val="center"/>
              <w:rPr>
                <w:rFonts w:ascii="宋体" w:hAnsi="宋体" w:cs="Arial"/>
                <w:bCs/>
                <w:color w:val="auto"/>
              </w:rPr>
            </w:pPr>
          </w:p>
        </w:tc>
        <w:tc>
          <w:tcPr>
            <w:tcW w:w="1680" w:type="dxa"/>
            <w:gridSpan w:val="3"/>
            <w:vAlign w:val="center"/>
          </w:tcPr>
          <w:p w14:paraId="5D2B8573">
            <w:pPr>
              <w:jc w:val="center"/>
              <w:rPr>
                <w:rFonts w:ascii="宋体" w:hAnsi="宋体" w:cs="Arial"/>
                <w:bCs/>
                <w:color w:val="auto"/>
              </w:rPr>
            </w:pPr>
            <w:r>
              <w:rPr>
                <w:rFonts w:hint="eastAsia" w:ascii="宋体" w:hAnsi="宋体" w:cs="Arial"/>
                <w:bCs/>
                <w:color w:val="auto"/>
              </w:rPr>
              <w:t>技工</w:t>
            </w:r>
          </w:p>
        </w:tc>
        <w:tc>
          <w:tcPr>
            <w:tcW w:w="1680" w:type="dxa"/>
            <w:gridSpan w:val="3"/>
            <w:vAlign w:val="center"/>
          </w:tcPr>
          <w:p w14:paraId="1D72F32F">
            <w:pPr>
              <w:jc w:val="center"/>
              <w:rPr>
                <w:rFonts w:ascii="宋体" w:hAnsi="宋体" w:cs="Arial"/>
                <w:bCs/>
                <w:color w:val="auto"/>
              </w:rPr>
            </w:pPr>
          </w:p>
        </w:tc>
      </w:tr>
      <w:tr w14:paraId="5646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DDF643F">
            <w:pPr>
              <w:jc w:val="center"/>
              <w:rPr>
                <w:rFonts w:ascii="宋体" w:hAnsi="宋体" w:cs="Arial"/>
                <w:bCs/>
                <w:color w:val="auto"/>
              </w:rPr>
            </w:pPr>
            <w:r>
              <w:rPr>
                <w:rFonts w:hint="eastAsia" w:ascii="宋体" w:hAnsi="宋体" w:cs="Arial"/>
                <w:bCs/>
                <w:color w:val="auto"/>
              </w:rPr>
              <w:t>经营范围</w:t>
            </w:r>
          </w:p>
        </w:tc>
        <w:tc>
          <w:tcPr>
            <w:tcW w:w="7560" w:type="dxa"/>
            <w:gridSpan w:val="11"/>
            <w:vAlign w:val="center"/>
          </w:tcPr>
          <w:p w14:paraId="6153C5AF">
            <w:pPr>
              <w:jc w:val="center"/>
              <w:rPr>
                <w:rFonts w:ascii="宋体" w:hAnsi="宋体" w:cs="Arial"/>
                <w:bCs/>
                <w:color w:val="auto"/>
              </w:rPr>
            </w:pPr>
          </w:p>
        </w:tc>
      </w:tr>
      <w:tr w14:paraId="5DED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FB4419F">
            <w:pPr>
              <w:jc w:val="center"/>
              <w:rPr>
                <w:rFonts w:ascii="宋体" w:hAnsi="宋体" w:cs="Arial"/>
                <w:bCs/>
                <w:color w:val="auto"/>
              </w:rPr>
            </w:pPr>
            <w:r>
              <w:rPr>
                <w:rFonts w:hint="eastAsia" w:ascii="宋体" w:hAnsi="宋体" w:cs="Arial"/>
                <w:bCs/>
                <w:color w:val="auto"/>
              </w:rPr>
              <w:t>备注</w:t>
            </w:r>
          </w:p>
        </w:tc>
        <w:tc>
          <w:tcPr>
            <w:tcW w:w="7560" w:type="dxa"/>
            <w:gridSpan w:val="11"/>
            <w:vAlign w:val="center"/>
          </w:tcPr>
          <w:p w14:paraId="076029F2">
            <w:pPr>
              <w:jc w:val="center"/>
              <w:rPr>
                <w:rFonts w:ascii="宋体" w:hAnsi="宋体" w:cs="Arial"/>
                <w:bCs/>
                <w:color w:val="auto"/>
              </w:rPr>
            </w:pPr>
          </w:p>
        </w:tc>
      </w:tr>
    </w:tbl>
    <w:p w14:paraId="1F824DA7">
      <w:pPr>
        <w:adjustRightInd w:val="0"/>
        <w:spacing w:line="400" w:lineRule="exact"/>
        <w:jc w:val="left"/>
        <w:rPr>
          <w:rFonts w:ascii="宋体" w:hAnsi="宋体"/>
          <w:color w:val="auto"/>
          <w:sz w:val="24"/>
        </w:rPr>
      </w:pPr>
    </w:p>
    <w:p w14:paraId="2EE9138C">
      <w:pPr>
        <w:adjustRightInd w:val="0"/>
        <w:spacing w:line="400" w:lineRule="exact"/>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XXX</w:t>
      </w:r>
      <w:r>
        <w:rPr>
          <w:rFonts w:hint="eastAsia" w:ascii="宋体" w:hAnsi="宋体"/>
          <w:color w:val="auto"/>
          <w:sz w:val="24"/>
        </w:rPr>
        <w:t>（盖单位公章）</w:t>
      </w:r>
    </w:p>
    <w:p w14:paraId="4403DDD2">
      <w:pPr>
        <w:adjustRightInd w:val="0"/>
        <w:spacing w:line="400" w:lineRule="exact"/>
        <w:jc w:val="left"/>
        <w:rPr>
          <w:bCs/>
          <w:color w:val="auto"/>
          <w:sz w:val="24"/>
        </w:rPr>
      </w:pPr>
      <w:r>
        <w:rPr>
          <w:rFonts w:hint="eastAsia"/>
          <w:bCs/>
          <w:color w:val="auto"/>
          <w:sz w:val="24"/>
        </w:rPr>
        <w:t>法定代表人或授权代表（签字或盖章）：XXX</w:t>
      </w:r>
    </w:p>
    <w:p w14:paraId="2A691700">
      <w:pPr>
        <w:adjustRightInd w:val="0"/>
        <w:spacing w:line="400" w:lineRule="exact"/>
        <w:jc w:val="left"/>
        <w:rPr>
          <w:bCs/>
          <w:color w:val="auto"/>
          <w:sz w:val="24"/>
        </w:rPr>
      </w:pPr>
      <w:r>
        <w:rPr>
          <w:rFonts w:hint="eastAsia"/>
          <w:bCs/>
          <w:color w:val="auto"/>
          <w:sz w:val="24"/>
        </w:rPr>
        <w:t>日  期：XXX年XXX月XXX日</w:t>
      </w:r>
    </w:p>
    <w:p w14:paraId="58022D2C">
      <w:pPr>
        <w:spacing w:line="400" w:lineRule="exact"/>
        <w:ind w:firstLine="560" w:firstLineChars="200"/>
        <w:jc w:val="center"/>
        <w:rPr>
          <w:rFonts w:ascii="宋体" w:hAnsi="宋体" w:eastAsia="黑体"/>
          <w:b/>
          <w:color w:val="auto"/>
          <w:sz w:val="28"/>
          <w:szCs w:val="28"/>
        </w:rPr>
      </w:pPr>
    </w:p>
    <w:p w14:paraId="181C36EC">
      <w:pPr>
        <w:spacing w:line="400" w:lineRule="exact"/>
        <w:ind w:firstLine="640" w:firstLineChars="200"/>
        <w:jc w:val="center"/>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三、承诺函</w:t>
      </w:r>
    </w:p>
    <w:p w14:paraId="6850C960">
      <w:pPr>
        <w:spacing w:line="400" w:lineRule="exact"/>
        <w:ind w:firstLine="560" w:firstLineChars="200"/>
        <w:jc w:val="center"/>
        <w:rPr>
          <w:rFonts w:ascii="宋体" w:hAnsi="宋体" w:eastAsia="黑体"/>
          <w:b/>
          <w:color w:val="auto"/>
          <w:sz w:val="28"/>
          <w:szCs w:val="28"/>
        </w:rPr>
      </w:pPr>
    </w:p>
    <w:p w14:paraId="3877B1B1">
      <w:pPr>
        <w:ind w:firstLine="480" w:firstLineChars="200"/>
        <w:jc w:val="left"/>
        <w:rPr>
          <w:rFonts w:ascii="宋体" w:hAnsi="宋体"/>
          <w:color w:val="auto"/>
          <w:sz w:val="24"/>
        </w:rPr>
      </w:pPr>
      <w:r>
        <w:rPr>
          <w:rFonts w:hint="eastAsia" w:ascii="宋体" w:hAnsi="宋体"/>
          <w:color w:val="auto"/>
          <w:sz w:val="24"/>
        </w:rPr>
        <w:t>XXX（采购代理机构名称）：</w:t>
      </w:r>
    </w:p>
    <w:p w14:paraId="555B42FD">
      <w:pPr>
        <w:ind w:firstLine="480" w:firstLineChars="200"/>
        <w:jc w:val="left"/>
        <w:rPr>
          <w:rFonts w:ascii="宋体" w:hAnsi="宋体"/>
          <w:color w:val="auto"/>
          <w:sz w:val="24"/>
        </w:rPr>
      </w:pPr>
      <w:r>
        <w:rPr>
          <w:rFonts w:hint="eastAsia" w:ascii="宋体" w:hAnsi="宋体"/>
          <w:color w:val="auto"/>
          <w:sz w:val="24"/>
        </w:rPr>
        <w:t>我公司作为本次采购项目的供应商，根据谈判文件要求，现郑重承诺如下：</w:t>
      </w:r>
    </w:p>
    <w:p w14:paraId="13CD85FF">
      <w:pPr>
        <w:ind w:firstLine="480" w:firstLineChars="200"/>
        <w:jc w:val="left"/>
        <w:rPr>
          <w:rFonts w:ascii="宋体" w:hAnsi="宋体"/>
          <w:color w:val="auto"/>
          <w:sz w:val="24"/>
        </w:rPr>
      </w:pPr>
      <w:r>
        <w:rPr>
          <w:rFonts w:hint="eastAsia" w:ascii="宋体" w:hAnsi="宋体"/>
          <w:color w:val="auto"/>
          <w:sz w:val="24"/>
        </w:rPr>
        <w:t>一、具备《中华人民共和国政府采购法》第二十二条第一款和本项目规定的条件：</w:t>
      </w:r>
    </w:p>
    <w:p w14:paraId="37AA4715">
      <w:pPr>
        <w:ind w:firstLine="480" w:firstLineChars="200"/>
        <w:jc w:val="left"/>
        <w:rPr>
          <w:rFonts w:ascii="宋体" w:hAnsi="宋体"/>
          <w:color w:val="auto"/>
          <w:sz w:val="24"/>
        </w:rPr>
      </w:pPr>
      <w:r>
        <w:rPr>
          <w:rFonts w:hint="eastAsia" w:ascii="宋体" w:hAnsi="宋体"/>
          <w:color w:val="auto"/>
          <w:sz w:val="24"/>
        </w:rPr>
        <w:t>（一）具有独立承担民事责任的能力；</w:t>
      </w:r>
    </w:p>
    <w:p w14:paraId="3540AEA4">
      <w:pPr>
        <w:ind w:firstLine="480" w:firstLineChars="200"/>
        <w:jc w:val="left"/>
        <w:rPr>
          <w:rFonts w:ascii="宋体" w:hAnsi="宋体"/>
          <w:color w:val="auto"/>
          <w:sz w:val="24"/>
        </w:rPr>
      </w:pPr>
      <w:r>
        <w:rPr>
          <w:rFonts w:hint="eastAsia" w:ascii="宋体" w:hAnsi="宋体"/>
          <w:color w:val="auto"/>
          <w:sz w:val="24"/>
        </w:rPr>
        <w:t>（二）具有良好的商业信誉和健全的财务会计制度；</w:t>
      </w:r>
    </w:p>
    <w:p w14:paraId="43D237B2">
      <w:pPr>
        <w:ind w:firstLine="480" w:firstLineChars="200"/>
        <w:jc w:val="left"/>
        <w:rPr>
          <w:rFonts w:ascii="宋体" w:hAnsi="宋体"/>
          <w:color w:val="auto"/>
          <w:sz w:val="24"/>
        </w:rPr>
      </w:pPr>
      <w:r>
        <w:rPr>
          <w:rFonts w:hint="eastAsia" w:ascii="宋体" w:hAnsi="宋体"/>
          <w:color w:val="auto"/>
          <w:sz w:val="24"/>
        </w:rPr>
        <w:t>（三）具有履行合同所必需的设备和专业技术能力；</w:t>
      </w:r>
    </w:p>
    <w:p w14:paraId="1EE1C4AC">
      <w:pPr>
        <w:ind w:firstLine="480" w:firstLineChars="200"/>
        <w:jc w:val="left"/>
        <w:rPr>
          <w:rFonts w:ascii="宋体" w:hAnsi="宋体"/>
          <w:color w:val="auto"/>
          <w:sz w:val="24"/>
        </w:rPr>
      </w:pPr>
      <w:r>
        <w:rPr>
          <w:rFonts w:hint="eastAsia" w:ascii="宋体" w:hAnsi="宋体"/>
          <w:color w:val="auto"/>
          <w:sz w:val="24"/>
        </w:rPr>
        <w:t>（四）有依法缴纳税收和社会保障资金的良好记录；</w:t>
      </w:r>
    </w:p>
    <w:p w14:paraId="3A343FE8">
      <w:pPr>
        <w:ind w:firstLine="480" w:firstLineChars="200"/>
        <w:jc w:val="left"/>
        <w:rPr>
          <w:rFonts w:ascii="宋体" w:hAnsi="宋体"/>
          <w:color w:val="auto"/>
          <w:sz w:val="24"/>
        </w:rPr>
      </w:pPr>
      <w:r>
        <w:rPr>
          <w:rFonts w:hint="eastAsia" w:ascii="宋体" w:hAnsi="宋体"/>
          <w:color w:val="auto"/>
          <w:sz w:val="24"/>
        </w:rPr>
        <w:t>（五）参加政府采购活动前三年内，在经营活动中没有重大违法记录；</w:t>
      </w:r>
    </w:p>
    <w:p w14:paraId="1E83CD74">
      <w:pPr>
        <w:ind w:firstLine="480" w:firstLineChars="200"/>
        <w:jc w:val="left"/>
        <w:rPr>
          <w:rFonts w:ascii="宋体" w:hAnsi="宋体"/>
          <w:color w:val="auto"/>
          <w:sz w:val="24"/>
        </w:rPr>
      </w:pPr>
      <w:r>
        <w:rPr>
          <w:rFonts w:hint="eastAsia" w:ascii="宋体" w:hAnsi="宋体"/>
          <w:color w:val="auto"/>
          <w:sz w:val="24"/>
        </w:rPr>
        <w:t>（六）法律、行政法规规定的其他条件；</w:t>
      </w:r>
    </w:p>
    <w:p w14:paraId="4B6A44C9">
      <w:pPr>
        <w:ind w:firstLine="480" w:firstLineChars="200"/>
        <w:jc w:val="left"/>
        <w:rPr>
          <w:rFonts w:ascii="宋体" w:hAnsi="宋体"/>
          <w:color w:val="auto"/>
          <w:sz w:val="24"/>
        </w:rPr>
      </w:pPr>
      <w:r>
        <w:rPr>
          <w:rFonts w:hint="eastAsia" w:ascii="宋体" w:hAnsi="宋体"/>
          <w:color w:val="auto"/>
          <w:sz w:val="24"/>
        </w:rPr>
        <w:t>（七）根据采购项目提出的特殊条件。</w:t>
      </w:r>
    </w:p>
    <w:p w14:paraId="0EE03D9A">
      <w:pPr>
        <w:ind w:firstLine="480" w:firstLineChars="200"/>
        <w:jc w:val="left"/>
        <w:rPr>
          <w:rFonts w:ascii="宋体" w:hAnsi="宋体"/>
          <w:color w:val="auto"/>
          <w:sz w:val="24"/>
        </w:rPr>
      </w:pPr>
      <w:r>
        <w:rPr>
          <w:rFonts w:hint="eastAsia" w:ascii="宋体" w:hAnsi="宋体"/>
          <w:color w:val="auto"/>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1222889B">
      <w:pPr>
        <w:ind w:firstLine="480" w:firstLineChars="200"/>
        <w:jc w:val="left"/>
        <w:rPr>
          <w:rFonts w:ascii="宋体" w:hAnsi="宋体"/>
          <w:color w:val="auto"/>
          <w:sz w:val="24"/>
        </w:rPr>
      </w:pPr>
      <w:r>
        <w:rPr>
          <w:rFonts w:hint="eastAsia" w:ascii="宋体" w:hAnsi="宋体"/>
          <w:color w:val="auto"/>
          <w:sz w:val="24"/>
        </w:rPr>
        <w:t>三、在参加本次采购活动中，不存在与单位负责人为同一人或者存在直接控股、管理关系的其他供应商参与同一合同项下的政府采购活动的行为。</w:t>
      </w:r>
    </w:p>
    <w:p w14:paraId="3CF2B211">
      <w:pPr>
        <w:ind w:firstLine="480" w:firstLineChars="200"/>
        <w:jc w:val="left"/>
        <w:rPr>
          <w:rFonts w:ascii="宋体" w:hAnsi="宋体"/>
          <w:color w:val="auto"/>
          <w:sz w:val="24"/>
        </w:rPr>
      </w:pPr>
      <w:r>
        <w:rPr>
          <w:rFonts w:hint="eastAsia" w:ascii="宋体" w:hAnsi="宋体"/>
          <w:color w:val="auto"/>
          <w:sz w:val="24"/>
        </w:rPr>
        <w:t>四、在参加本次采购活动中，不存在和其他供应商在同一合同项下的采购项目中，同时委托同一个自然人、同一家庭的人员、同一单位的人员作为代理人的行为。</w:t>
      </w:r>
    </w:p>
    <w:p w14:paraId="7047D8E8">
      <w:pPr>
        <w:ind w:firstLine="480" w:firstLineChars="200"/>
        <w:jc w:val="left"/>
        <w:rPr>
          <w:rFonts w:ascii="宋体" w:hAnsi="宋体"/>
          <w:color w:val="auto"/>
          <w:sz w:val="24"/>
        </w:rPr>
      </w:pPr>
      <w:r>
        <w:rPr>
          <w:rFonts w:hint="eastAsia" w:ascii="宋体" w:hAnsi="宋体"/>
          <w:color w:val="auto"/>
          <w:sz w:val="24"/>
        </w:rPr>
        <w:t>五、如果有《四川省公共资源交易领域严重失信联合惩戒实施办法》(川发改信用规</w:t>
      </w:r>
      <w:r>
        <w:rPr>
          <w:rFonts w:hint="eastAsia" w:ascii="宋体" w:hAnsi="宋体"/>
          <w:color w:val="auto"/>
          <w:sz w:val="24"/>
          <w:lang w:val="en-US" w:eastAsia="zh-CN"/>
        </w:rPr>
        <w:t>[</w:t>
      </w:r>
      <w:r>
        <w:rPr>
          <w:rFonts w:hint="eastAsia" w:ascii="宋体" w:hAnsi="宋体"/>
          <w:color w:val="auto"/>
          <w:sz w:val="24"/>
        </w:rPr>
        <w:t>2019]405号)、《关于对政府采购领域严重违法失信主体开展联合惩戒的合作备忘录》</w:t>
      </w:r>
      <w:r>
        <w:rPr>
          <w:rFonts w:hint="eastAsia" w:ascii="宋体" w:hAnsi="宋体"/>
          <w:color w:val="auto"/>
          <w:sz w:val="24"/>
          <w:lang w:val="en-US" w:eastAsia="zh-CN"/>
        </w:rPr>
        <w:t>(</w:t>
      </w:r>
      <w:r>
        <w:rPr>
          <w:rFonts w:hint="eastAsia" w:ascii="宋体" w:hAnsi="宋体"/>
          <w:color w:val="auto"/>
          <w:sz w:val="24"/>
        </w:rPr>
        <w:t>发改财金</w:t>
      </w:r>
      <w:r>
        <w:rPr>
          <w:rFonts w:hint="eastAsia" w:ascii="宋体" w:hAnsi="宋体"/>
          <w:color w:val="auto"/>
          <w:sz w:val="24"/>
          <w:lang w:val="en-US" w:eastAsia="zh-CN"/>
        </w:rPr>
        <w:t>[</w:t>
      </w:r>
      <w:r>
        <w:rPr>
          <w:rFonts w:hint="eastAsia" w:ascii="宋体" w:hAnsi="宋体"/>
          <w:color w:val="auto"/>
          <w:sz w:val="24"/>
        </w:rPr>
        <w:t>2018]1614号)规定的记入诚信档案的失信行为，将在响应文件中全面如实反映。</w:t>
      </w:r>
    </w:p>
    <w:p w14:paraId="1D9257F5">
      <w:pPr>
        <w:ind w:firstLine="480" w:firstLineChars="200"/>
        <w:jc w:val="left"/>
        <w:rPr>
          <w:rFonts w:ascii="宋体" w:hAnsi="宋体"/>
          <w:color w:val="auto"/>
          <w:sz w:val="24"/>
        </w:rPr>
      </w:pPr>
      <w:r>
        <w:rPr>
          <w:rFonts w:hint="eastAsia" w:ascii="宋体" w:hAnsi="宋体"/>
          <w:color w:val="auto"/>
          <w:sz w:val="24"/>
        </w:rPr>
        <w:t>六、响应文件中提供的任何资料和技术、服务、商务等响应承诺情况都是真实的、有效的、合法的。</w:t>
      </w:r>
    </w:p>
    <w:p w14:paraId="1777A772">
      <w:pPr>
        <w:ind w:firstLine="480" w:firstLineChars="200"/>
        <w:jc w:val="left"/>
        <w:rPr>
          <w:rFonts w:ascii="宋体" w:hAnsi="宋体"/>
          <w:color w:val="auto"/>
          <w:sz w:val="24"/>
        </w:rPr>
      </w:pPr>
      <w:r>
        <w:rPr>
          <w:rFonts w:hint="eastAsia" w:ascii="宋体" w:hAnsi="宋体"/>
          <w:color w:val="auto"/>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678C36EF">
      <w:pPr>
        <w:ind w:firstLine="480" w:firstLineChars="200"/>
        <w:jc w:val="left"/>
        <w:rPr>
          <w:rFonts w:ascii="宋体" w:hAnsi="宋体"/>
          <w:color w:val="auto"/>
          <w:sz w:val="24"/>
        </w:rPr>
      </w:pPr>
      <w:r>
        <w:rPr>
          <w:rFonts w:hint="eastAsia" w:ascii="宋体" w:hAnsi="宋体"/>
          <w:color w:val="auto"/>
          <w:sz w:val="24"/>
        </w:rPr>
        <w:t>本公司对上述承诺的内容事项真实性负责。如经查实上述承诺的内容事项存在虚假，我公司愿意接受以提供虚假材料谋取成交的法律责任。</w:t>
      </w:r>
    </w:p>
    <w:p w14:paraId="27FBAECE">
      <w:pPr>
        <w:ind w:firstLine="480" w:firstLineChars="200"/>
        <w:jc w:val="left"/>
        <w:rPr>
          <w:rFonts w:ascii="宋体" w:hAnsi="宋体"/>
          <w:color w:val="auto"/>
          <w:sz w:val="24"/>
        </w:rPr>
      </w:pPr>
    </w:p>
    <w:p w14:paraId="08E9CEE0">
      <w:pPr>
        <w:ind w:firstLine="480" w:firstLineChars="200"/>
        <w:jc w:val="left"/>
        <w:rPr>
          <w:rFonts w:ascii="宋体" w:hAnsi="宋体"/>
          <w:color w:val="auto"/>
          <w:sz w:val="24"/>
        </w:rPr>
      </w:pPr>
    </w:p>
    <w:p w14:paraId="2FA04855">
      <w:pPr>
        <w:ind w:firstLine="480" w:firstLineChars="200"/>
        <w:jc w:val="left"/>
        <w:rPr>
          <w:rFonts w:ascii="宋体" w:hAnsi="宋体"/>
          <w:color w:val="auto"/>
          <w:sz w:val="24"/>
        </w:rPr>
      </w:pPr>
      <w:r>
        <w:rPr>
          <w:rFonts w:hint="eastAsia" w:ascii="宋体" w:hAnsi="宋体"/>
          <w:color w:val="auto"/>
          <w:sz w:val="24"/>
        </w:rPr>
        <w:t>法定代表人签字或者加盖个人私章：XXXX</w:t>
      </w:r>
    </w:p>
    <w:p w14:paraId="17827704">
      <w:pPr>
        <w:ind w:firstLine="480" w:firstLineChars="200"/>
        <w:jc w:val="left"/>
        <w:rPr>
          <w:rFonts w:ascii="宋体" w:hAnsi="宋体"/>
          <w:color w:val="auto"/>
          <w:sz w:val="24"/>
        </w:rPr>
      </w:pPr>
      <w:r>
        <w:rPr>
          <w:rFonts w:hint="eastAsia" w:ascii="宋体" w:hAnsi="宋体"/>
          <w:color w:val="auto"/>
          <w:sz w:val="24"/>
        </w:rPr>
        <w:t>授权代表签字：XXXX</w:t>
      </w:r>
    </w:p>
    <w:p w14:paraId="507D352E">
      <w:pPr>
        <w:ind w:firstLine="480" w:firstLineChars="200"/>
        <w:jc w:val="left"/>
        <w:rPr>
          <w:rFonts w:ascii="宋体" w:hAnsi="宋体"/>
          <w:color w:val="auto"/>
          <w:sz w:val="24"/>
        </w:rPr>
      </w:pPr>
      <w:r>
        <w:rPr>
          <w:rFonts w:hint="eastAsia" w:ascii="宋体" w:hAnsi="宋体"/>
          <w:color w:val="auto"/>
          <w:sz w:val="24"/>
        </w:rPr>
        <w:t>供应商名称：XXXX（盖章）</w:t>
      </w:r>
    </w:p>
    <w:p w14:paraId="73F38893">
      <w:pPr>
        <w:ind w:firstLine="480" w:firstLineChars="200"/>
        <w:jc w:val="left"/>
        <w:rPr>
          <w:rFonts w:ascii="宋体" w:hAnsi="宋体"/>
          <w:color w:val="auto"/>
          <w:sz w:val="24"/>
        </w:rPr>
      </w:pPr>
      <w:r>
        <w:rPr>
          <w:rFonts w:hint="eastAsia" w:ascii="宋体" w:hAnsi="宋体"/>
          <w:color w:val="auto"/>
          <w:sz w:val="24"/>
        </w:rPr>
        <w:t>日    期：XXX年XXX月XXX日</w:t>
      </w:r>
    </w:p>
    <w:p w14:paraId="18528783">
      <w:pPr>
        <w:jc w:val="center"/>
        <w:rPr>
          <w:rFonts w:ascii="宋体" w:hAnsi="宋体"/>
          <w:bCs/>
          <w:color w:val="auto"/>
          <w:sz w:val="30"/>
          <w:szCs w:val="30"/>
        </w:rPr>
      </w:pPr>
    </w:p>
    <w:p w14:paraId="1A02EEFB">
      <w:pPr>
        <w:spacing w:line="400" w:lineRule="exact"/>
        <w:rPr>
          <w:color w:val="auto"/>
          <w:sz w:val="32"/>
        </w:rPr>
      </w:pPr>
    </w:p>
    <w:p w14:paraId="56632C01">
      <w:pPr>
        <w:jc w:val="center"/>
        <w:rPr>
          <w:b/>
          <w:color w:val="auto"/>
          <w:sz w:val="32"/>
          <w:szCs w:val="32"/>
        </w:rPr>
      </w:pPr>
      <w:r>
        <w:rPr>
          <w:rFonts w:hint="eastAsia"/>
          <w:b/>
          <w:color w:val="auto"/>
          <w:sz w:val="32"/>
          <w:szCs w:val="32"/>
        </w:rPr>
        <w:br w:type="page"/>
      </w:r>
      <w:r>
        <w:rPr>
          <w:rFonts w:hint="eastAsia"/>
          <w:b/>
          <w:color w:val="auto"/>
          <w:sz w:val="32"/>
          <w:szCs w:val="32"/>
        </w:rPr>
        <w:t>四、报价函</w:t>
      </w:r>
    </w:p>
    <w:p w14:paraId="60100699">
      <w:pPr>
        <w:spacing w:line="360" w:lineRule="auto"/>
        <w:rPr>
          <w:rFonts w:ascii="宋体" w:hAnsi="宋体"/>
          <w:color w:val="auto"/>
          <w:sz w:val="24"/>
        </w:rPr>
      </w:pPr>
    </w:p>
    <w:p w14:paraId="3E606F68">
      <w:pPr>
        <w:spacing w:line="360" w:lineRule="auto"/>
        <w:rPr>
          <w:rFonts w:ascii="宋体" w:hAnsi="宋体"/>
          <w:color w:val="auto"/>
          <w:sz w:val="24"/>
        </w:rPr>
      </w:pPr>
      <w:r>
        <w:rPr>
          <w:rFonts w:hint="eastAsia" w:ascii="宋体" w:hAnsi="宋体"/>
          <w:color w:val="auto"/>
          <w:sz w:val="24"/>
        </w:rPr>
        <w:t>XXX（采购代理机构名称）：</w:t>
      </w:r>
    </w:p>
    <w:p w14:paraId="6EC1DD06">
      <w:pPr>
        <w:spacing w:line="360" w:lineRule="auto"/>
        <w:ind w:firstLine="480" w:firstLineChars="200"/>
        <w:jc w:val="left"/>
        <w:rPr>
          <w:rFonts w:ascii="宋体" w:hAnsi="宋体"/>
          <w:color w:val="auto"/>
          <w:sz w:val="24"/>
        </w:rPr>
      </w:pPr>
      <w:r>
        <w:rPr>
          <w:rFonts w:hint="eastAsia" w:ascii="宋体" w:hAnsi="宋体"/>
          <w:color w:val="auto"/>
          <w:sz w:val="24"/>
        </w:rPr>
        <w:t>1.我方全面研究了“XXXXXX”项目谈判文件（项目编号：XXXX），决定参加贵单位组织的本项目谈判采购。</w:t>
      </w:r>
    </w:p>
    <w:p w14:paraId="1EEBA1E1">
      <w:pPr>
        <w:spacing w:line="360" w:lineRule="auto"/>
        <w:ind w:firstLine="480" w:firstLineChars="200"/>
        <w:jc w:val="left"/>
        <w:rPr>
          <w:rFonts w:ascii="宋体" w:hAnsi="宋体"/>
          <w:color w:val="auto"/>
          <w:sz w:val="24"/>
        </w:rPr>
      </w:pPr>
      <w:r>
        <w:rPr>
          <w:rFonts w:hint="eastAsia" w:ascii="宋体" w:hAnsi="宋体"/>
          <w:color w:val="auto"/>
          <w:sz w:val="24"/>
        </w:rPr>
        <w:t>2.我方自愿按照谈判文件规定的各项要求向采购人提供所需</w:t>
      </w:r>
      <w:r>
        <w:rPr>
          <w:rFonts w:hint="eastAsia" w:ascii="宋体" w:hAnsi="宋体"/>
          <w:color w:val="auto"/>
          <w:sz w:val="24"/>
          <w:lang w:val="en-US" w:eastAsia="zh-CN"/>
        </w:rPr>
        <w:t>货物</w:t>
      </w:r>
      <w:r>
        <w:rPr>
          <w:rFonts w:hint="eastAsia" w:ascii="宋体" w:hAnsi="宋体"/>
          <w:color w:val="auto"/>
          <w:sz w:val="24"/>
        </w:rPr>
        <w:t>，报价为</w:t>
      </w:r>
      <w:r>
        <w:rPr>
          <w:rFonts w:hint="eastAsia" w:ascii="宋体" w:hAnsi="宋体"/>
          <w:color w:val="auto"/>
          <w:sz w:val="24"/>
          <w:lang w:val="en-US" w:eastAsia="zh-CN"/>
        </w:rPr>
        <w:t>按照最高单价限价下浮XX.XX%（保留2位小数）</w:t>
      </w:r>
      <w:r>
        <w:rPr>
          <w:rFonts w:hint="eastAsia" w:ascii="宋体" w:hAnsi="宋体"/>
          <w:color w:val="auto"/>
          <w:sz w:val="24"/>
        </w:rPr>
        <w:t>。</w:t>
      </w:r>
    </w:p>
    <w:p w14:paraId="0ACDB42C">
      <w:pPr>
        <w:spacing w:line="360" w:lineRule="auto"/>
        <w:ind w:firstLine="480" w:firstLineChars="200"/>
        <w:jc w:val="left"/>
        <w:rPr>
          <w:rFonts w:ascii="宋体" w:hAnsi="宋体"/>
          <w:color w:val="auto"/>
          <w:sz w:val="24"/>
        </w:rPr>
      </w:pPr>
      <w:r>
        <w:rPr>
          <w:rFonts w:hint="eastAsia" w:ascii="宋体" w:hAnsi="宋体"/>
          <w:color w:val="auto"/>
          <w:sz w:val="24"/>
        </w:rPr>
        <w:t>3.一旦我方成交，我方将严格履行政府采购合同规定的责任和义务。</w:t>
      </w:r>
    </w:p>
    <w:p w14:paraId="10EDAD11">
      <w:pPr>
        <w:spacing w:line="360" w:lineRule="auto"/>
        <w:ind w:firstLine="480" w:firstLineChars="200"/>
        <w:jc w:val="left"/>
        <w:rPr>
          <w:rFonts w:ascii="宋体" w:hAnsi="宋体"/>
          <w:color w:val="auto"/>
          <w:sz w:val="24"/>
        </w:rPr>
      </w:pPr>
      <w:r>
        <w:rPr>
          <w:rFonts w:hint="eastAsia" w:ascii="宋体" w:hAnsi="宋体"/>
          <w:color w:val="auto"/>
          <w:sz w:val="24"/>
        </w:rPr>
        <w:t>4.我方同意本谈判文件执行《四川省公共资源交易领域严重失信联合惩戒实施办法》(川发改信用规</w:t>
      </w:r>
      <w:r>
        <w:rPr>
          <w:rFonts w:hint="eastAsia" w:ascii="宋体" w:hAnsi="宋体"/>
          <w:color w:val="auto"/>
          <w:sz w:val="24"/>
          <w:lang w:val="en-US" w:eastAsia="zh-CN"/>
        </w:rPr>
        <w:t>[</w:t>
      </w:r>
      <w:r>
        <w:rPr>
          <w:rFonts w:hint="eastAsia" w:ascii="宋体" w:hAnsi="宋体"/>
          <w:color w:val="auto"/>
          <w:sz w:val="24"/>
        </w:rPr>
        <w:t>2019]405号)、《关于对政府采购领域严重违法失信主体开展联合惩戒的合作备忘录》</w:t>
      </w:r>
      <w:r>
        <w:rPr>
          <w:rFonts w:hint="eastAsia" w:ascii="宋体" w:hAnsi="宋体"/>
          <w:color w:val="auto"/>
          <w:sz w:val="24"/>
          <w:lang w:val="en-US" w:eastAsia="zh-CN"/>
        </w:rPr>
        <w:t>(</w:t>
      </w:r>
      <w:r>
        <w:rPr>
          <w:rFonts w:hint="eastAsia" w:ascii="宋体" w:hAnsi="宋体"/>
          <w:color w:val="auto"/>
          <w:sz w:val="24"/>
        </w:rPr>
        <w:t>发改财金</w:t>
      </w:r>
      <w:r>
        <w:rPr>
          <w:rFonts w:hint="eastAsia" w:ascii="宋体" w:hAnsi="宋体"/>
          <w:color w:val="auto"/>
          <w:sz w:val="24"/>
          <w:lang w:val="en-US" w:eastAsia="zh-CN"/>
        </w:rPr>
        <w:t>[</w:t>
      </w:r>
      <w:r>
        <w:rPr>
          <w:rFonts w:hint="eastAsia" w:ascii="宋体" w:hAnsi="宋体"/>
          <w:color w:val="auto"/>
          <w:sz w:val="24"/>
        </w:rPr>
        <w:t>2018]1614号)对我方可能存在的失信行为进行惩戒。</w:t>
      </w:r>
    </w:p>
    <w:p w14:paraId="029DC704">
      <w:pPr>
        <w:spacing w:line="360" w:lineRule="auto"/>
        <w:ind w:firstLine="480" w:firstLineChars="200"/>
        <w:jc w:val="left"/>
        <w:rPr>
          <w:rFonts w:ascii="宋体" w:hAnsi="宋体"/>
          <w:color w:val="auto"/>
          <w:sz w:val="24"/>
        </w:rPr>
      </w:pPr>
      <w:r>
        <w:rPr>
          <w:rFonts w:hint="eastAsia" w:ascii="宋体" w:hAnsi="宋体"/>
          <w:color w:val="auto"/>
          <w:sz w:val="24"/>
        </w:rPr>
        <w:t>5.我方为本项目提交的响应文件正本1份，副本</w:t>
      </w:r>
      <w:r>
        <w:rPr>
          <w:rFonts w:hint="eastAsia" w:ascii="宋体" w:hAnsi="宋体"/>
          <w:color w:val="auto"/>
          <w:sz w:val="24"/>
          <w:lang w:val="en-US" w:eastAsia="zh-CN"/>
        </w:rPr>
        <w:t>2</w:t>
      </w:r>
      <w:r>
        <w:rPr>
          <w:rFonts w:hint="eastAsia" w:ascii="宋体" w:hAnsi="宋体"/>
          <w:color w:val="auto"/>
          <w:sz w:val="24"/>
        </w:rPr>
        <w:t>份，用于谈判报价。</w:t>
      </w:r>
    </w:p>
    <w:p w14:paraId="388263AE">
      <w:pPr>
        <w:spacing w:line="360" w:lineRule="auto"/>
        <w:ind w:firstLine="480" w:firstLineChars="200"/>
        <w:jc w:val="left"/>
        <w:rPr>
          <w:rFonts w:ascii="宋体" w:hAnsi="宋体"/>
          <w:color w:val="auto"/>
          <w:sz w:val="24"/>
        </w:rPr>
      </w:pPr>
      <w:r>
        <w:rPr>
          <w:rFonts w:hint="eastAsia" w:ascii="宋体" w:hAnsi="宋体"/>
          <w:color w:val="auto"/>
          <w:sz w:val="24"/>
        </w:rPr>
        <w:t>6.我方愿意提供贵单位可能另外要求的，与谈判报价有关的文件资料，并保证我方已提供和将要提供的文件资料是真实、准确的。</w:t>
      </w:r>
    </w:p>
    <w:p w14:paraId="192195B1">
      <w:pPr>
        <w:spacing w:line="360" w:lineRule="auto"/>
        <w:ind w:firstLine="480" w:firstLineChars="200"/>
        <w:jc w:val="left"/>
        <w:rPr>
          <w:color w:val="auto"/>
          <w:sz w:val="24"/>
        </w:rPr>
      </w:pPr>
      <w:r>
        <w:rPr>
          <w:rFonts w:hint="eastAsia" w:ascii="宋体" w:hAnsi="宋体"/>
          <w:color w:val="auto"/>
          <w:sz w:val="24"/>
        </w:rPr>
        <w:t>7.本次谈判，我方递交的响应文件有效期为</w:t>
      </w:r>
      <w:r>
        <w:rPr>
          <w:rFonts w:hint="eastAsia"/>
          <w:color w:val="auto"/>
          <w:sz w:val="24"/>
        </w:rPr>
        <w:t>采购文件规定起算之日起</w:t>
      </w:r>
      <w:r>
        <w:rPr>
          <w:rFonts w:hint="eastAsia" w:ascii="宋体" w:hAnsi="宋体"/>
          <w:color w:val="auto"/>
          <w:sz w:val="24"/>
          <w:lang w:val="en-US" w:eastAsia="zh-CN"/>
        </w:rPr>
        <w:t>60</w:t>
      </w:r>
      <w:r>
        <w:rPr>
          <w:rFonts w:hint="eastAsia"/>
          <w:color w:val="auto"/>
          <w:sz w:val="24"/>
        </w:rPr>
        <w:t>天。</w:t>
      </w:r>
    </w:p>
    <w:p w14:paraId="4DB2A915">
      <w:pPr>
        <w:adjustRightInd w:val="0"/>
        <w:spacing w:line="400" w:lineRule="exact"/>
        <w:ind w:firstLine="480" w:firstLineChars="200"/>
        <w:jc w:val="left"/>
        <w:rPr>
          <w:rFonts w:ascii="宋体" w:hAnsi="宋体"/>
          <w:color w:val="auto"/>
          <w:sz w:val="24"/>
        </w:rPr>
      </w:pPr>
    </w:p>
    <w:p w14:paraId="7489BF33">
      <w:pPr>
        <w:adjustRightInd w:val="0"/>
        <w:spacing w:line="400" w:lineRule="exact"/>
        <w:ind w:firstLine="480" w:firstLineChars="200"/>
        <w:jc w:val="left"/>
        <w:rPr>
          <w:rFonts w:ascii="宋体" w:hAnsi="宋体"/>
          <w:color w:val="auto"/>
          <w:sz w:val="24"/>
        </w:rPr>
      </w:pPr>
    </w:p>
    <w:p w14:paraId="7E1D7512">
      <w:pP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XXX</w:t>
      </w:r>
      <w:r>
        <w:rPr>
          <w:rFonts w:hint="eastAsia" w:ascii="宋体" w:hAnsi="宋体"/>
          <w:color w:val="auto"/>
          <w:sz w:val="24"/>
        </w:rPr>
        <w:t>（盖单位公章）</w:t>
      </w:r>
    </w:p>
    <w:p w14:paraId="494B7665">
      <w:pPr>
        <w:spacing w:line="400" w:lineRule="exact"/>
        <w:ind w:firstLine="470" w:firstLineChars="196"/>
        <w:rPr>
          <w:rFonts w:ascii="宋体" w:hAnsi="宋体"/>
          <w:color w:val="auto"/>
          <w:sz w:val="24"/>
        </w:rPr>
      </w:pPr>
      <w:r>
        <w:rPr>
          <w:rFonts w:hint="eastAsia" w:ascii="宋体" w:hAnsi="宋体"/>
          <w:color w:val="auto"/>
          <w:sz w:val="24"/>
        </w:rPr>
        <w:t>法定代表人或授权代表（签字或盖章）：XXX</w:t>
      </w:r>
    </w:p>
    <w:p w14:paraId="6D02E4E6">
      <w:pPr>
        <w:spacing w:line="400" w:lineRule="exact"/>
        <w:ind w:firstLine="470" w:firstLineChars="196"/>
        <w:rPr>
          <w:rFonts w:ascii="宋体" w:hAnsi="宋体"/>
          <w:color w:val="auto"/>
          <w:sz w:val="24"/>
        </w:rPr>
      </w:pPr>
      <w:r>
        <w:rPr>
          <w:rFonts w:hint="eastAsia" w:ascii="宋体" w:hAnsi="宋体"/>
          <w:color w:val="auto"/>
          <w:sz w:val="24"/>
        </w:rPr>
        <w:t>通讯地址：XXX</w:t>
      </w:r>
    </w:p>
    <w:p w14:paraId="5624C9E9">
      <w:pPr>
        <w:spacing w:line="400" w:lineRule="exact"/>
        <w:ind w:firstLine="470" w:firstLineChars="196"/>
        <w:rPr>
          <w:rFonts w:ascii="宋体" w:hAnsi="宋体"/>
          <w:color w:val="auto"/>
          <w:sz w:val="24"/>
        </w:rPr>
      </w:pPr>
      <w:r>
        <w:rPr>
          <w:rFonts w:hint="eastAsia" w:ascii="宋体" w:hAnsi="宋体"/>
          <w:color w:val="auto"/>
          <w:sz w:val="24"/>
        </w:rPr>
        <w:t>邮政编码：XXX</w:t>
      </w:r>
    </w:p>
    <w:p w14:paraId="1F129388">
      <w:pPr>
        <w:spacing w:line="400" w:lineRule="exact"/>
        <w:ind w:firstLine="470" w:firstLineChars="196"/>
        <w:rPr>
          <w:rFonts w:ascii="宋体" w:hAnsi="宋体"/>
          <w:color w:val="auto"/>
          <w:sz w:val="24"/>
        </w:rPr>
      </w:pPr>
      <w:r>
        <w:rPr>
          <w:rFonts w:hint="eastAsia" w:ascii="宋体" w:hAnsi="宋体"/>
          <w:color w:val="auto"/>
          <w:sz w:val="24"/>
        </w:rPr>
        <w:t>联系电话：XXX</w:t>
      </w:r>
    </w:p>
    <w:p w14:paraId="372AC73C">
      <w:pPr>
        <w:spacing w:line="400" w:lineRule="exact"/>
        <w:ind w:firstLine="470" w:firstLineChars="196"/>
        <w:rPr>
          <w:rFonts w:ascii="宋体" w:hAnsi="宋体"/>
          <w:color w:val="auto"/>
          <w:sz w:val="24"/>
        </w:rPr>
      </w:pPr>
      <w:r>
        <w:rPr>
          <w:rFonts w:hint="eastAsia" w:ascii="宋体" w:hAnsi="宋体"/>
          <w:color w:val="auto"/>
          <w:sz w:val="24"/>
        </w:rPr>
        <w:t>传    真：XXX</w:t>
      </w:r>
    </w:p>
    <w:p w14:paraId="1EE0AA64">
      <w:pPr>
        <w:spacing w:line="400" w:lineRule="exact"/>
        <w:ind w:firstLine="470" w:firstLineChars="196"/>
        <w:rPr>
          <w:color w:val="auto"/>
          <w:sz w:val="24"/>
        </w:rPr>
      </w:pPr>
      <w:r>
        <w:rPr>
          <w:rFonts w:hint="eastAsia" w:ascii="宋体" w:hAnsi="宋体"/>
          <w:color w:val="auto"/>
          <w:sz w:val="24"/>
        </w:rPr>
        <w:t>日    期：XXX年XXX月XXX日</w:t>
      </w:r>
    </w:p>
    <w:p w14:paraId="743147D5">
      <w:pPr>
        <w:jc w:val="center"/>
        <w:rPr>
          <w:rFonts w:ascii="宋体" w:hAnsi="宋体"/>
          <w:color w:val="auto"/>
          <w:sz w:val="24"/>
        </w:rPr>
      </w:pPr>
    </w:p>
    <w:p w14:paraId="2F231F46">
      <w:pPr>
        <w:rPr>
          <w:color w:val="auto"/>
        </w:rPr>
      </w:pPr>
    </w:p>
    <w:p w14:paraId="40305031">
      <w:pPr>
        <w:jc w:val="center"/>
        <w:rPr>
          <w:rFonts w:ascii="宋体" w:hAnsi="宋体"/>
          <w:color w:val="auto"/>
          <w:sz w:val="24"/>
        </w:rPr>
      </w:pPr>
    </w:p>
    <w:p w14:paraId="2054073F">
      <w:pPr>
        <w:jc w:val="center"/>
        <w:rPr>
          <w:b/>
          <w:color w:val="auto"/>
          <w:sz w:val="32"/>
          <w:szCs w:val="32"/>
        </w:rPr>
      </w:pPr>
    </w:p>
    <w:p w14:paraId="452C6078">
      <w:pPr>
        <w:rPr>
          <w:color w:val="auto"/>
          <w:sz w:val="36"/>
          <w:szCs w:val="36"/>
        </w:rPr>
        <w:sectPr>
          <w:pgSz w:w="11906" w:h="16840"/>
          <w:pgMar w:top="1440" w:right="1800" w:bottom="1440" w:left="1800" w:header="851" w:footer="992" w:gutter="0"/>
          <w:pgNumType w:fmt="decimal"/>
          <w:cols w:space="720" w:num="1"/>
          <w:titlePg/>
          <w:docGrid w:type="linesAndChars" w:linePitch="312" w:charSpace="0"/>
        </w:sectPr>
      </w:pPr>
    </w:p>
    <w:p w14:paraId="7D0E704D">
      <w:pPr>
        <w:jc w:val="center"/>
        <w:rPr>
          <w:b/>
          <w:color w:val="auto"/>
          <w:sz w:val="32"/>
          <w:szCs w:val="32"/>
        </w:rPr>
      </w:pPr>
    </w:p>
    <w:p w14:paraId="249356B9">
      <w:pPr>
        <w:jc w:val="center"/>
        <w:rPr>
          <w:b/>
          <w:color w:val="auto"/>
          <w:sz w:val="32"/>
          <w:szCs w:val="32"/>
        </w:rPr>
      </w:pPr>
      <w:r>
        <w:rPr>
          <w:rFonts w:hint="eastAsia"/>
          <w:b/>
          <w:color w:val="auto"/>
          <w:sz w:val="32"/>
          <w:szCs w:val="32"/>
        </w:rPr>
        <w:t>五、报价一览表</w:t>
      </w:r>
    </w:p>
    <w:p w14:paraId="1B19F792">
      <w:pPr>
        <w:jc w:val="center"/>
        <w:rPr>
          <w:color w:val="auto"/>
          <w:sz w:val="28"/>
          <w:szCs w:val="28"/>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593"/>
        <w:gridCol w:w="2104"/>
        <w:gridCol w:w="1147"/>
        <w:gridCol w:w="1338"/>
        <w:gridCol w:w="2103"/>
        <w:gridCol w:w="1530"/>
        <w:gridCol w:w="1530"/>
      </w:tblGrid>
      <w:tr w14:paraId="4777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91" w:type="dxa"/>
            <w:vAlign w:val="center"/>
          </w:tcPr>
          <w:p w14:paraId="26D3FAAE">
            <w:pPr>
              <w:jc w:val="center"/>
              <w:rPr>
                <w:color w:val="auto"/>
                <w:sz w:val="24"/>
              </w:rPr>
            </w:pPr>
            <w:r>
              <w:rPr>
                <w:rFonts w:hint="eastAsia"/>
                <w:color w:val="auto"/>
                <w:sz w:val="24"/>
              </w:rPr>
              <w:t>序号</w:t>
            </w:r>
          </w:p>
        </w:tc>
        <w:tc>
          <w:tcPr>
            <w:tcW w:w="1593" w:type="dxa"/>
            <w:vAlign w:val="center"/>
          </w:tcPr>
          <w:p w14:paraId="120801ED">
            <w:pPr>
              <w:jc w:val="center"/>
              <w:rPr>
                <w:color w:val="auto"/>
                <w:sz w:val="24"/>
              </w:rPr>
            </w:pPr>
            <w:r>
              <w:rPr>
                <w:rFonts w:hint="eastAsia"/>
                <w:color w:val="auto"/>
                <w:sz w:val="24"/>
              </w:rPr>
              <w:t>货物（设备）名称</w:t>
            </w:r>
          </w:p>
        </w:tc>
        <w:tc>
          <w:tcPr>
            <w:tcW w:w="2104" w:type="dxa"/>
            <w:vAlign w:val="center"/>
          </w:tcPr>
          <w:p w14:paraId="7CEF3588">
            <w:pPr>
              <w:jc w:val="center"/>
              <w:rPr>
                <w:color w:val="auto"/>
                <w:sz w:val="24"/>
              </w:rPr>
            </w:pPr>
            <w:r>
              <w:rPr>
                <w:rFonts w:hint="eastAsia"/>
                <w:color w:val="auto"/>
                <w:sz w:val="24"/>
              </w:rPr>
              <w:t>规格型号</w:t>
            </w:r>
          </w:p>
        </w:tc>
        <w:tc>
          <w:tcPr>
            <w:tcW w:w="1147" w:type="dxa"/>
            <w:vAlign w:val="center"/>
          </w:tcPr>
          <w:p w14:paraId="4EB07CF1">
            <w:pPr>
              <w:jc w:val="center"/>
              <w:rPr>
                <w:color w:val="auto"/>
                <w:sz w:val="24"/>
              </w:rPr>
            </w:pPr>
            <w:r>
              <w:rPr>
                <w:rFonts w:hint="eastAsia"/>
                <w:color w:val="auto"/>
                <w:sz w:val="24"/>
                <w:lang w:val="en-US" w:eastAsia="zh-CN"/>
              </w:rPr>
              <w:t>品牌</w:t>
            </w:r>
          </w:p>
        </w:tc>
        <w:tc>
          <w:tcPr>
            <w:tcW w:w="1338" w:type="dxa"/>
            <w:vAlign w:val="center"/>
          </w:tcPr>
          <w:p w14:paraId="0B1C503D">
            <w:pPr>
              <w:jc w:val="center"/>
              <w:rPr>
                <w:color w:val="auto"/>
                <w:sz w:val="24"/>
              </w:rPr>
            </w:pPr>
            <w:r>
              <w:rPr>
                <w:rFonts w:hint="eastAsia"/>
                <w:color w:val="auto"/>
                <w:sz w:val="24"/>
              </w:rPr>
              <w:t>单价（元）</w:t>
            </w:r>
          </w:p>
        </w:tc>
        <w:tc>
          <w:tcPr>
            <w:tcW w:w="2103" w:type="dxa"/>
            <w:vAlign w:val="center"/>
          </w:tcPr>
          <w:p w14:paraId="23EB68A4">
            <w:pPr>
              <w:jc w:val="center"/>
              <w:rPr>
                <w:rFonts w:hint="default" w:eastAsia="宋体"/>
                <w:color w:val="auto"/>
                <w:sz w:val="24"/>
                <w:lang w:val="en-US" w:eastAsia="zh-CN"/>
              </w:rPr>
            </w:pPr>
            <w:r>
              <w:rPr>
                <w:rFonts w:hint="eastAsia"/>
                <w:color w:val="auto"/>
                <w:sz w:val="24"/>
                <w:lang w:val="en-US" w:eastAsia="zh-CN"/>
              </w:rPr>
              <w:t>供货期限</w:t>
            </w:r>
          </w:p>
        </w:tc>
        <w:tc>
          <w:tcPr>
            <w:tcW w:w="1530" w:type="dxa"/>
            <w:vAlign w:val="center"/>
          </w:tcPr>
          <w:p w14:paraId="4CDFAED0">
            <w:pPr>
              <w:ind w:left="355" w:hanging="355" w:hangingChars="148"/>
              <w:jc w:val="center"/>
              <w:rPr>
                <w:color w:val="auto"/>
                <w:sz w:val="24"/>
              </w:rPr>
            </w:pPr>
            <w:r>
              <w:rPr>
                <w:rFonts w:hint="eastAsia"/>
                <w:color w:val="auto"/>
                <w:sz w:val="24"/>
              </w:rPr>
              <w:t>是否属于</w:t>
            </w:r>
          </w:p>
          <w:p w14:paraId="71A48B93">
            <w:pPr>
              <w:ind w:left="355" w:hanging="355" w:hangingChars="148"/>
              <w:jc w:val="center"/>
              <w:rPr>
                <w:color w:val="auto"/>
                <w:sz w:val="24"/>
              </w:rPr>
            </w:pPr>
            <w:r>
              <w:rPr>
                <w:rFonts w:hint="eastAsia"/>
                <w:color w:val="auto"/>
                <w:sz w:val="24"/>
              </w:rPr>
              <w:t>进口产品</w:t>
            </w:r>
          </w:p>
        </w:tc>
        <w:tc>
          <w:tcPr>
            <w:tcW w:w="1530" w:type="dxa"/>
            <w:vAlign w:val="center"/>
          </w:tcPr>
          <w:p w14:paraId="743371A6">
            <w:pPr>
              <w:ind w:left="355" w:hanging="355" w:hangingChars="148"/>
              <w:jc w:val="center"/>
              <w:rPr>
                <w:color w:val="auto"/>
                <w:sz w:val="24"/>
              </w:rPr>
            </w:pPr>
            <w:r>
              <w:rPr>
                <w:rFonts w:hint="eastAsia"/>
                <w:color w:val="auto"/>
                <w:sz w:val="24"/>
              </w:rPr>
              <w:t>备注</w:t>
            </w:r>
          </w:p>
        </w:tc>
      </w:tr>
      <w:tr w14:paraId="04EE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91" w:type="dxa"/>
          </w:tcPr>
          <w:p w14:paraId="6E7881EB">
            <w:pPr>
              <w:rPr>
                <w:color w:val="auto"/>
                <w:sz w:val="24"/>
              </w:rPr>
            </w:pPr>
          </w:p>
        </w:tc>
        <w:tc>
          <w:tcPr>
            <w:tcW w:w="1593" w:type="dxa"/>
          </w:tcPr>
          <w:p w14:paraId="35797340">
            <w:pPr>
              <w:rPr>
                <w:color w:val="auto"/>
                <w:sz w:val="24"/>
              </w:rPr>
            </w:pPr>
          </w:p>
        </w:tc>
        <w:tc>
          <w:tcPr>
            <w:tcW w:w="2104" w:type="dxa"/>
          </w:tcPr>
          <w:p w14:paraId="2172314D">
            <w:pPr>
              <w:rPr>
                <w:color w:val="auto"/>
                <w:sz w:val="24"/>
              </w:rPr>
            </w:pPr>
          </w:p>
        </w:tc>
        <w:tc>
          <w:tcPr>
            <w:tcW w:w="1147" w:type="dxa"/>
          </w:tcPr>
          <w:p w14:paraId="7B8EDDD8">
            <w:pPr>
              <w:rPr>
                <w:color w:val="auto"/>
                <w:sz w:val="24"/>
              </w:rPr>
            </w:pPr>
          </w:p>
        </w:tc>
        <w:tc>
          <w:tcPr>
            <w:tcW w:w="1338" w:type="dxa"/>
          </w:tcPr>
          <w:p w14:paraId="11C0113A">
            <w:pPr>
              <w:rPr>
                <w:color w:val="auto"/>
                <w:sz w:val="24"/>
              </w:rPr>
            </w:pPr>
          </w:p>
        </w:tc>
        <w:tc>
          <w:tcPr>
            <w:tcW w:w="2103" w:type="dxa"/>
          </w:tcPr>
          <w:p w14:paraId="3D4DE222">
            <w:pPr>
              <w:rPr>
                <w:color w:val="auto"/>
                <w:sz w:val="24"/>
              </w:rPr>
            </w:pPr>
          </w:p>
        </w:tc>
        <w:tc>
          <w:tcPr>
            <w:tcW w:w="1530" w:type="dxa"/>
          </w:tcPr>
          <w:p w14:paraId="4C3084C1">
            <w:pPr>
              <w:rPr>
                <w:color w:val="auto"/>
                <w:sz w:val="24"/>
              </w:rPr>
            </w:pPr>
          </w:p>
        </w:tc>
        <w:tc>
          <w:tcPr>
            <w:tcW w:w="1530" w:type="dxa"/>
          </w:tcPr>
          <w:p w14:paraId="76EC24D8">
            <w:pPr>
              <w:rPr>
                <w:color w:val="auto"/>
                <w:sz w:val="24"/>
              </w:rPr>
            </w:pPr>
          </w:p>
        </w:tc>
      </w:tr>
      <w:tr w14:paraId="19C8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91" w:type="dxa"/>
          </w:tcPr>
          <w:p w14:paraId="07859B88">
            <w:pPr>
              <w:rPr>
                <w:color w:val="auto"/>
                <w:sz w:val="24"/>
              </w:rPr>
            </w:pPr>
          </w:p>
        </w:tc>
        <w:tc>
          <w:tcPr>
            <w:tcW w:w="1593" w:type="dxa"/>
          </w:tcPr>
          <w:p w14:paraId="477D1935">
            <w:pPr>
              <w:rPr>
                <w:color w:val="auto"/>
                <w:sz w:val="24"/>
              </w:rPr>
            </w:pPr>
          </w:p>
        </w:tc>
        <w:tc>
          <w:tcPr>
            <w:tcW w:w="2104" w:type="dxa"/>
          </w:tcPr>
          <w:p w14:paraId="34F24D86">
            <w:pPr>
              <w:rPr>
                <w:color w:val="auto"/>
                <w:sz w:val="24"/>
              </w:rPr>
            </w:pPr>
          </w:p>
        </w:tc>
        <w:tc>
          <w:tcPr>
            <w:tcW w:w="1147" w:type="dxa"/>
          </w:tcPr>
          <w:p w14:paraId="4152C21D">
            <w:pPr>
              <w:rPr>
                <w:color w:val="auto"/>
                <w:sz w:val="24"/>
              </w:rPr>
            </w:pPr>
          </w:p>
        </w:tc>
        <w:tc>
          <w:tcPr>
            <w:tcW w:w="1338" w:type="dxa"/>
          </w:tcPr>
          <w:p w14:paraId="1E1B33DF">
            <w:pPr>
              <w:rPr>
                <w:color w:val="auto"/>
                <w:sz w:val="24"/>
              </w:rPr>
            </w:pPr>
          </w:p>
        </w:tc>
        <w:tc>
          <w:tcPr>
            <w:tcW w:w="2103" w:type="dxa"/>
          </w:tcPr>
          <w:p w14:paraId="0305BF94">
            <w:pPr>
              <w:rPr>
                <w:color w:val="auto"/>
                <w:sz w:val="24"/>
              </w:rPr>
            </w:pPr>
          </w:p>
        </w:tc>
        <w:tc>
          <w:tcPr>
            <w:tcW w:w="1530" w:type="dxa"/>
          </w:tcPr>
          <w:p w14:paraId="017A1A23">
            <w:pPr>
              <w:rPr>
                <w:color w:val="auto"/>
                <w:sz w:val="24"/>
              </w:rPr>
            </w:pPr>
          </w:p>
        </w:tc>
        <w:tc>
          <w:tcPr>
            <w:tcW w:w="1530" w:type="dxa"/>
          </w:tcPr>
          <w:p w14:paraId="3DC7086F">
            <w:pPr>
              <w:rPr>
                <w:color w:val="auto"/>
                <w:sz w:val="24"/>
              </w:rPr>
            </w:pPr>
          </w:p>
        </w:tc>
      </w:tr>
      <w:tr w14:paraId="5D68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91" w:type="dxa"/>
          </w:tcPr>
          <w:p w14:paraId="01B88F13">
            <w:pPr>
              <w:rPr>
                <w:color w:val="auto"/>
                <w:sz w:val="24"/>
              </w:rPr>
            </w:pPr>
            <w:r>
              <w:rPr>
                <w:rFonts w:hint="eastAsia"/>
                <w:color w:val="auto"/>
                <w:sz w:val="32"/>
                <w:szCs w:val="24"/>
              </w:rPr>
              <w:t>.......</w:t>
            </w:r>
          </w:p>
        </w:tc>
        <w:tc>
          <w:tcPr>
            <w:tcW w:w="1593" w:type="dxa"/>
          </w:tcPr>
          <w:p w14:paraId="7E99F392">
            <w:pPr>
              <w:rPr>
                <w:color w:val="auto"/>
                <w:sz w:val="24"/>
              </w:rPr>
            </w:pPr>
          </w:p>
        </w:tc>
        <w:tc>
          <w:tcPr>
            <w:tcW w:w="2104" w:type="dxa"/>
          </w:tcPr>
          <w:p w14:paraId="34205D82">
            <w:pPr>
              <w:rPr>
                <w:color w:val="auto"/>
                <w:sz w:val="24"/>
              </w:rPr>
            </w:pPr>
          </w:p>
        </w:tc>
        <w:tc>
          <w:tcPr>
            <w:tcW w:w="1147" w:type="dxa"/>
          </w:tcPr>
          <w:p w14:paraId="17DA10A9">
            <w:pPr>
              <w:rPr>
                <w:color w:val="auto"/>
                <w:sz w:val="24"/>
              </w:rPr>
            </w:pPr>
          </w:p>
        </w:tc>
        <w:tc>
          <w:tcPr>
            <w:tcW w:w="1338" w:type="dxa"/>
          </w:tcPr>
          <w:p w14:paraId="35332D4E">
            <w:pPr>
              <w:rPr>
                <w:color w:val="auto"/>
                <w:sz w:val="24"/>
              </w:rPr>
            </w:pPr>
          </w:p>
        </w:tc>
        <w:tc>
          <w:tcPr>
            <w:tcW w:w="2103" w:type="dxa"/>
          </w:tcPr>
          <w:p w14:paraId="31E9E4D9">
            <w:pPr>
              <w:rPr>
                <w:color w:val="auto"/>
                <w:sz w:val="24"/>
              </w:rPr>
            </w:pPr>
          </w:p>
        </w:tc>
        <w:tc>
          <w:tcPr>
            <w:tcW w:w="1530" w:type="dxa"/>
          </w:tcPr>
          <w:p w14:paraId="5FC7879D">
            <w:pPr>
              <w:rPr>
                <w:color w:val="auto"/>
                <w:sz w:val="24"/>
              </w:rPr>
            </w:pPr>
          </w:p>
        </w:tc>
        <w:tc>
          <w:tcPr>
            <w:tcW w:w="1530" w:type="dxa"/>
          </w:tcPr>
          <w:p w14:paraId="20172185">
            <w:pPr>
              <w:rPr>
                <w:color w:val="auto"/>
                <w:sz w:val="24"/>
              </w:rPr>
            </w:pPr>
          </w:p>
        </w:tc>
      </w:tr>
      <w:tr w14:paraId="50CC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236" w:type="dxa"/>
            <w:gridSpan w:val="8"/>
            <w:vAlign w:val="center"/>
          </w:tcPr>
          <w:p w14:paraId="7EBD48A4">
            <w:pPr>
              <w:jc w:val="both"/>
              <w:rPr>
                <w:rFonts w:hint="default" w:eastAsia="宋体"/>
                <w:color w:val="auto"/>
                <w:sz w:val="24"/>
                <w:lang w:val="en-US" w:eastAsia="zh-CN"/>
              </w:rPr>
            </w:pPr>
            <w:r>
              <w:rPr>
                <w:rFonts w:hint="eastAsia"/>
                <w:color w:val="auto"/>
                <w:sz w:val="24"/>
                <w:lang w:val="en-US" w:eastAsia="zh-CN"/>
              </w:rPr>
              <w:t>下浮比例：XX.XX%（保留2位小数）</w:t>
            </w:r>
          </w:p>
        </w:tc>
      </w:tr>
    </w:tbl>
    <w:p w14:paraId="76B79DA3">
      <w:pPr>
        <w:ind w:firstLine="480" w:firstLineChars="200"/>
        <w:rPr>
          <w:color w:val="auto"/>
          <w:sz w:val="24"/>
        </w:rPr>
      </w:pPr>
      <w:r>
        <w:rPr>
          <w:rFonts w:hint="eastAsia"/>
          <w:color w:val="auto"/>
          <w:sz w:val="24"/>
        </w:rPr>
        <w:t>注: 1.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7C2692AB">
      <w:pPr>
        <w:ind w:firstLine="480" w:firstLineChars="200"/>
        <w:rPr>
          <w:rFonts w:hint="eastAsia"/>
          <w:color w:val="auto"/>
          <w:sz w:val="24"/>
        </w:rPr>
      </w:pPr>
      <w:r>
        <w:rPr>
          <w:rFonts w:hint="eastAsia"/>
          <w:color w:val="auto"/>
          <w:sz w:val="24"/>
        </w:rPr>
        <w:t>2.应完整填写产品的品牌和型号或项目内容。</w:t>
      </w:r>
    </w:p>
    <w:p w14:paraId="22D99138">
      <w:pPr>
        <w:ind w:firstLine="480" w:firstLineChars="200"/>
        <w:rPr>
          <w:rFonts w:hint="default" w:eastAsia="宋体"/>
          <w:color w:val="auto"/>
          <w:sz w:val="24"/>
          <w:lang w:val="en-US" w:eastAsia="zh-CN"/>
        </w:rPr>
      </w:pPr>
      <w:r>
        <w:rPr>
          <w:rFonts w:hint="eastAsia"/>
          <w:color w:val="auto"/>
          <w:sz w:val="24"/>
          <w:lang w:val="en-US" w:eastAsia="zh-CN"/>
        </w:rPr>
        <w:t>3.单价保留2位小数。</w:t>
      </w:r>
    </w:p>
    <w:p w14:paraId="2CC9B2F1">
      <w:pPr>
        <w:rPr>
          <w:color w:val="auto"/>
          <w:sz w:val="32"/>
        </w:rPr>
      </w:pPr>
    </w:p>
    <w:p w14:paraId="502F470C">
      <w:pPr>
        <w:adjustRightInd w:val="0"/>
        <w:spacing w:line="400" w:lineRule="exact"/>
        <w:ind w:firstLine="600" w:firstLineChars="250"/>
        <w:jc w:val="left"/>
        <w:rPr>
          <w:rFonts w:ascii="宋体" w:hAnsi="宋体"/>
          <w:color w:val="auto"/>
          <w:sz w:val="24"/>
        </w:rPr>
      </w:pPr>
      <w:r>
        <w:rPr>
          <w:rFonts w:hint="eastAsia" w:ascii="宋体" w:hAnsi="宋体"/>
          <w:color w:val="auto"/>
          <w:sz w:val="24"/>
        </w:rPr>
        <w:t>供应商名称：XXX（盖单位公章）</w:t>
      </w:r>
    </w:p>
    <w:p w14:paraId="33C80255">
      <w:pPr>
        <w:ind w:firstLine="616" w:firstLineChars="257"/>
        <w:rPr>
          <w:color w:val="auto"/>
          <w:sz w:val="24"/>
        </w:rPr>
      </w:pPr>
      <w:r>
        <w:rPr>
          <w:rFonts w:hint="eastAsia"/>
          <w:color w:val="auto"/>
          <w:sz w:val="24"/>
        </w:rPr>
        <w:t>法定代表人或授权代表（签字或盖章）：XXX</w:t>
      </w:r>
    </w:p>
    <w:p w14:paraId="70678FEC">
      <w:pPr>
        <w:ind w:firstLine="616" w:firstLineChars="257"/>
        <w:rPr>
          <w:color w:val="auto"/>
          <w:sz w:val="24"/>
        </w:rPr>
      </w:pPr>
      <w:r>
        <w:rPr>
          <w:rFonts w:hint="eastAsia"/>
          <w:color w:val="auto"/>
          <w:sz w:val="24"/>
        </w:rPr>
        <w:t xml:space="preserve">日      期：XXX年XXX月XXX日 </w:t>
      </w:r>
    </w:p>
    <w:p w14:paraId="56AE9437">
      <w:pPr>
        <w:rPr>
          <w:color w:val="auto"/>
          <w:sz w:val="28"/>
          <w:szCs w:val="28"/>
        </w:rPr>
        <w:sectPr>
          <w:footerReference r:id="rId8" w:type="default"/>
          <w:pgSz w:w="16838" w:h="11906" w:orient="landscape"/>
          <w:pgMar w:top="1797" w:right="3118" w:bottom="935" w:left="1440" w:header="720" w:footer="720" w:gutter="0"/>
          <w:pgNumType w:fmt="decimal"/>
          <w:cols w:space="720" w:num="1"/>
          <w:docGrid w:linePitch="312" w:charSpace="0"/>
        </w:sectPr>
      </w:pPr>
    </w:p>
    <w:p w14:paraId="1996BAEC">
      <w:pPr>
        <w:rPr>
          <w:color w:val="auto"/>
        </w:rPr>
      </w:pPr>
    </w:p>
    <w:p w14:paraId="1ED61589">
      <w:pPr>
        <w:jc w:val="center"/>
        <w:rPr>
          <w:rFonts w:ascii="宋体" w:hAnsi="宋体"/>
          <w:b/>
          <w:bCs/>
          <w:color w:val="auto"/>
          <w:sz w:val="32"/>
          <w:szCs w:val="32"/>
        </w:rPr>
      </w:pPr>
      <w:r>
        <w:rPr>
          <w:rFonts w:hint="eastAsia" w:ascii="宋体" w:hAnsi="宋体"/>
          <w:b/>
          <w:bCs/>
          <w:color w:val="auto"/>
          <w:sz w:val="32"/>
          <w:szCs w:val="32"/>
        </w:rPr>
        <w:t>六、中小企业声明函</w:t>
      </w:r>
    </w:p>
    <w:p w14:paraId="5392E33A">
      <w:pPr>
        <w:widowControl/>
        <w:spacing w:beforeAutospacing="1" w:afterAutospacing="1" w:line="360" w:lineRule="auto"/>
        <w:ind w:firstLine="480" w:firstLineChars="200"/>
        <w:jc w:val="left"/>
        <w:rPr>
          <w:rFonts w:ascii="ˎ̥" w:hAnsi="ˎ̥" w:cs="宋体"/>
          <w:color w:val="auto"/>
          <w:kern w:val="0"/>
          <w:sz w:val="24"/>
        </w:rPr>
      </w:pPr>
    </w:p>
    <w:p w14:paraId="1589CEE4">
      <w:pPr>
        <w:spacing w:line="360" w:lineRule="auto"/>
        <w:ind w:firstLine="480" w:firstLineChars="200"/>
        <w:rPr>
          <w:rFonts w:ascii="宋体" w:hAnsi="宋体" w:cs="宋体"/>
          <w:color w:val="auto"/>
          <w:spacing w:val="6"/>
          <w:sz w:val="24"/>
        </w:rPr>
      </w:pPr>
      <w:r>
        <w:rPr>
          <w:rFonts w:hint="eastAsia" w:ascii="ˎ̥" w:hAnsi="ˎ̥" w:cs="宋体"/>
          <w:color w:val="auto"/>
          <w:kern w:val="0"/>
          <w:sz w:val="24"/>
        </w:rPr>
        <w:t>　　</w:t>
      </w:r>
      <w:r>
        <w:rPr>
          <w:rFonts w:hint="eastAsia" w:ascii="宋体" w:hAnsi="宋体" w:cs="宋体"/>
          <w:color w:val="auto"/>
          <w:spacing w:val="6"/>
          <w:sz w:val="24"/>
        </w:rPr>
        <w:t>本公司（联合体）郑重声明，根据《政府采购促进中小企业发展管理办法》（财库</w:t>
      </w:r>
      <w:r>
        <w:rPr>
          <w:rFonts w:ascii="宋体" w:hAnsi="宋体" w:cs="宋体"/>
          <w:color w:val="auto"/>
          <w:spacing w:val="6"/>
          <w:sz w:val="24"/>
        </w:rPr>
        <w:t xml:space="preserve"> </w:t>
      </w:r>
      <w:r>
        <w:rPr>
          <w:rFonts w:hint="eastAsia" w:ascii="宋体" w:hAnsi="宋体" w:cs="宋体"/>
          <w:color w:val="auto"/>
          <w:spacing w:val="6"/>
          <w:sz w:val="24"/>
        </w:rPr>
        <w:t>﹝</w:t>
      </w:r>
      <w:r>
        <w:rPr>
          <w:rFonts w:ascii="宋体" w:hAnsi="宋体" w:cs="宋体"/>
          <w:color w:val="auto"/>
          <w:spacing w:val="6"/>
          <w:sz w:val="24"/>
        </w:rPr>
        <w:t>2020</w:t>
      </w:r>
      <w:r>
        <w:rPr>
          <w:rFonts w:hint="eastAsia" w:ascii="宋体" w:hAnsi="宋体" w:cs="宋体"/>
          <w:color w:val="auto"/>
          <w:spacing w:val="6"/>
          <w:sz w:val="24"/>
        </w:rPr>
        <w:t>﹞</w:t>
      </w:r>
      <w:r>
        <w:rPr>
          <w:rFonts w:ascii="宋体" w:hAnsi="宋体" w:cs="宋体"/>
          <w:color w:val="auto"/>
          <w:spacing w:val="6"/>
          <w:sz w:val="24"/>
        </w:rPr>
        <w:t>46</w:t>
      </w:r>
      <w:r>
        <w:rPr>
          <w:rFonts w:hint="eastAsia" w:ascii="宋体" w:hAnsi="宋体" w:cs="宋体"/>
          <w:color w:val="auto"/>
          <w:spacing w:val="6"/>
          <w:sz w:val="24"/>
        </w:rPr>
        <w:t>号）的规定，本公司（联合体）参加</w:t>
      </w:r>
      <w:r>
        <w:rPr>
          <w:rFonts w:hint="eastAsia" w:ascii="宋体" w:hAnsi="宋体" w:cs="宋体"/>
          <w:color w:val="auto"/>
          <w:spacing w:val="6"/>
          <w:sz w:val="24"/>
          <w:u w:val="single"/>
        </w:rPr>
        <w:t>（单位名称）</w:t>
      </w:r>
      <w:r>
        <w:rPr>
          <w:rFonts w:hint="eastAsia" w:ascii="宋体" w:hAnsi="宋体" w:cs="宋体"/>
          <w:color w:val="auto"/>
          <w:spacing w:val="6"/>
          <w:sz w:val="24"/>
        </w:rPr>
        <w:t>的</w:t>
      </w:r>
      <w:r>
        <w:rPr>
          <w:rFonts w:hint="eastAsia" w:ascii="宋体" w:hAnsi="宋体" w:cs="宋体"/>
          <w:color w:val="auto"/>
          <w:spacing w:val="6"/>
          <w:sz w:val="24"/>
          <w:u w:val="single"/>
        </w:rPr>
        <w:t>（项目名称）</w:t>
      </w:r>
      <w:r>
        <w:rPr>
          <w:rFonts w:hint="eastAsia" w:ascii="宋体" w:hAnsi="宋体" w:cs="宋体"/>
          <w:color w:val="auto"/>
          <w:spacing w:val="6"/>
          <w:sz w:val="24"/>
        </w:rPr>
        <w:t>采购活动，提供的货物全部由符合政策要求的中小企业制造。相关企业（含联合体中的中小企业、签订分包意向协议的中小企业）的具体情况如下：</w:t>
      </w:r>
      <w:r>
        <w:rPr>
          <w:rFonts w:ascii="宋体" w:hAnsi="宋体" w:cs="宋体"/>
          <w:color w:val="auto"/>
          <w:spacing w:val="6"/>
          <w:sz w:val="24"/>
        </w:rPr>
        <w:t xml:space="preserve"> </w:t>
      </w:r>
    </w:p>
    <w:p w14:paraId="1C2316E7">
      <w:pPr>
        <w:numPr>
          <w:ilvl w:val="0"/>
          <w:numId w:val="2"/>
        </w:numPr>
        <w:spacing w:line="360" w:lineRule="auto"/>
        <w:ind w:firstLine="504" w:firstLineChars="200"/>
        <w:rPr>
          <w:rFonts w:ascii="宋体" w:hAnsi="宋体" w:cs="宋体"/>
          <w:color w:val="auto"/>
          <w:spacing w:val="6"/>
          <w:sz w:val="24"/>
        </w:rPr>
      </w:pPr>
      <w:r>
        <w:rPr>
          <w:rFonts w:hint="eastAsia" w:ascii="宋体" w:hAnsi="宋体" w:cs="宋体"/>
          <w:color w:val="auto"/>
          <w:spacing w:val="6"/>
          <w:sz w:val="24"/>
          <w:u w:val="single"/>
        </w:rPr>
        <w:t>（标的名称）</w:t>
      </w:r>
      <w:r>
        <w:rPr>
          <w:rFonts w:hint="eastAsia" w:ascii="宋体" w:hAnsi="宋体" w:cs="宋体"/>
          <w:color w:val="auto"/>
          <w:spacing w:val="6"/>
          <w:sz w:val="24"/>
        </w:rPr>
        <w:t>，属于</w:t>
      </w:r>
      <w:r>
        <w:rPr>
          <w:rFonts w:hint="eastAsia" w:ascii="宋体" w:hAnsi="宋体" w:cs="宋体"/>
          <w:b/>
          <w:color w:val="auto"/>
          <w:spacing w:val="6"/>
          <w:sz w:val="24"/>
          <w:u w:val="single"/>
          <w:lang w:val="en-US" w:eastAsia="zh-CN"/>
        </w:rPr>
        <w:t xml:space="preserve">     </w:t>
      </w:r>
      <w:r>
        <w:rPr>
          <w:rFonts w:hint="eastAsia" w:ascii="宋体" w:hAnsi="宋体" w:cs="宋体"/>
          <w:color w:val="auto"/>
          <w:spacing w:val="6"/>
          <w:sz w:val="24"/>
          <w:lang w:val="en-US" w:eastAsia="zh-CN"/>
        </w:rPr>
        <w:t>(采购文件中明确的所属行业)</w:t>
      </w:r>
      <w:r>
        <w:rPr>
          <w:rFonts w:hint="eastAsia" w:ascii="宋体" w:hAnsi="宋体" w:cs="宋体"/>
          <w:color w:val="auto"/>
          <w:spacing w:val="6"/>
          <w:sz w:val="24"/>
        </w:rPr>
        <w:t>；制造商为</w:t>
      </w:r>
      <w:r>
        <w:rPr>
          <w:rFonts w:hint="eastAsia" w:ascii="宋体" w:hAnsi="宋体" w:cs="宋体"/>
          <w:color w:val="auto"/>
          <w:spacing w:val="6"/>
          <w:sz w:val="24"/>
          <w:u w:val="single"/>
        </w:rPr>
        <w:t>（企业名称）</w:t>
      </w:r>
      <w:r>
        <w:rPr>
          <w:rFonts w:hint="eastAsia" w:ascii="宋体" w:hAnsi="宋体" w:cs="宋体"/>
          <w:color w:val="auto"/>
          <w:spacing w:val="6"/>
          <w:sz w:val="24"/>
        </w:rPr>
        <w:t>，从业人员</w:t>
      </w:r>
      <w:r>
        <w:rPr>
          <w:rFonts w:hint="eastAsia" w:ascii="宋体" w:hAnsi="宋体" w:cs="宋体"/>
          <w:color w:val="auto"/>
          <w:spacing w:val="6"/>
          <w:sz w:val="24"/>
          <w:u w:val="single"/>
        </w:rPr>
        <w:t xml:space="preserve">   </w:t>
      </w:r>
      <w:r>
        <w:rPr>
          <w:rFonts w:hint="eastAsia" w:ascii="宋体" w:hAnsi="宋体" w:cs="宋体"/>
          <w:color w:val="auto"/>
          <w:spacing w:val="6"/>
          <w:sz w:val="24"/>
        </w:rPr>
        <w:t>人，营业收入为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万元，资产总额为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万元，属于</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rPr>
        <w:t>；</w:t>
      </w:r>
      <w:r>
        <w:rPr>
          <w:rFonts w:ascii="宋体" w:hAnsi="宋体" w:cs="宋体"/>
          <w:color w:val="auto"/>
          <w:spacing w:val="6"/>
          <w:sz w:val="24"/>
        </w:rPr>
        <w:t xml:space="preserve"> </w:t>
      </w:r>
    </w:p>
    <w:p w14:paraId="0A617FD3">
      <w:pPr>
        <w:spacing w:line="360" w:lineRule="auto"/>
        <w:ind w:firstLine="504" w:firstLineChars="200"/>
        <w:rPr>
          <w:rFonts w:ascii="宋体" w:hAnsi="宋体" w:cs="宋体"/>
          <w:color w:val="auto"/>
          <w:kern w:val="0"/>
          <w:sz w:val="24"/>
          <w:szCs w:val="24"/>
        </w:rPr>
      </w:pPr>
      <w:r>
        <w:rPr>
          <w:rFonts w:hint="eastAsia" w:ascii="宋体" w:hAnsi="宋体" w:cs="宋体"/>
          <w:color w:val="auto"/>
          <w:spacing w:val="6"/>
          <w:sz w:val="24"/>
          <w:u w:val="none"/>
          <w:lang w:val="en-US" w:eastAsia="zh-CN"/>
        </w:rPr>
        <w:t>2.</w:t>
      </w:r>
      <w:r>
        <w:rPr>
          <w:rFonts w:hint="eastAsia" w:ascii="宋体" w:hAnsi="宋体" w:cs="宋体"/>
          <w:color w:val="auto"/>
          <w:spacing w:val="6"/>
          <w:sz w:val="24"/>
          <w:u w:val="single"/>
        </w:rPr>
        <w:t>（标的名称）</w:t>
      </w:r>
      <w:r>
        <w:rPr>
          <w:rFonts w:hint="eastAsia" w:ascii="宋体" w:hAnsi="宋体" w:cs="宋体"/>
          <w:color w:val="auto"/>
          <w:spacing w:val="6"/>
          <w:sz w:val="24"/>
        </w:rPr>
        <w:t>，属于</w:t>
      </w:r>
      <w:r>
        <w:rPr>
          <w:rFonts w:hint="eastAsia" w:ascii="宋体" w:hAnsi="宋体" w:cs="宋体"/>
          <w:b/>
          <w:color w:val="auto"/>
          <w:spacing w:val="6"/>
          <w:sz w:val="24"/>
          <w:u w:val="single"/>
          <w:lang w:val="en-US" w:eastAsia="zh-CN"/>
        </w:rPr>
        <w:t xml:space="preserve">   </w:t>
      </w:r>
      <w:r>
        <w:rPr>
          <w:rFonts w:hint="eastAsia" w:ascii="宋体" w:hAnsi="宋体" w:cs="宋体"/>
          <w:color w:val="auto"/>
          <w:spacing w:val="6"/>
          <w:sz w:val="24"/>
          <w:lang w:val="en-US" w:eastAsia="zh-CN"/>
        </w:rPr>
        <w:t>(采购文件中明确的所属行业)</w:t>
      </w:r>
      <w:r>
        <w:rPr>
          <w:rFonts w:hint="eastAsia" w:ascii="宋体" w:hAnsi="宋体" w:cs="宋体"/>
          <w:color w:val="auto"/>
          <w:spacing w:val="6"/>
          <w:sz w:val="24"/>
        </w:rPr>
        <w:t>；制造商为</w:t>
      </w:r>
      <w:r>
        <w:rPr>
          <w:rFonts w:hint="eastAsia" w:ascii="宋体" w:hAnsi="宋体" w:cs="宋体"/>
          <w:color w:val="auto"/>
          <w:spacing w:val="6"/>
          <w:sz w:val="24"/>
          <w:u w:val="single"/>
        </w:rPr>
        <w:t>（企业名称）</w:t>
      </w:r>
      <w:r>
        <w:rPr>
          <w:rFonts w:hint="eastAsia" w:ascii="宋体" w:hAnsi="宋体" w:cs="宋体"/>
          <w:color w:val="auto"/>
          <w:spacing w:val="6"/>
          <w:sz w:val="24"/>
        </w:rPr>
        <w:t>，从业人员</w:t>
      </w:r>
      <w:r>
        <w:rPr>
          <w:rFonts w:hint="eastAsia" w:ascii="宋体" w:hAnsi="宋体" w:cs="宋体"/>
          <w:color w:val="auto"/>
          <w:spacing w:val="6"/>
          <w:sz w:val="24"/>
          <w:u w:val="single"/>
        </w:rPr>
        <w:t xml:space="preserve">   </w:t>
      </w:r>
      <w:r>
        <w:rPr>
          <w:rFonts w:hint="eastAsia" w:ascii="宋体" w:hAnsi="宋体" w:cs="宋体"/>
          <w:color w:val="auto"/>
          <w:spacing w:val="6"/>
          <w:sz w:val="24"/>
        </w:rPr>
        <w:t>人，营业收入为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万元，资产总额为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万元，属于</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rPr>
        <w:t>；</w:t>
      </w:r>
    </w:p>
    <w:p w14:paraId="537FF55A">
      <w:pPr>
        <w:spacing w:line="360" w:lineRule="auto"/>
        <w:rPr>
          <w:rFonts w:ascii="宋体" w:hAnsi="宋体" w:cs="宋体"/>
          <w:color w:val="auto"/>
          <w:kern w:val="0"/>
          <w:sz w:val="24"/>
          <w:szCs w:val="24"/>
        </w:rPr>
      </w:pPr>
      <w:r>
        <w:rPr>
          <w:rFonts w:hint="eastAsia" w:ascii="宋体" w:hAnsi="宋体" w:cs="宋体"/>
          <w:color w:val="auto"/>
          <w:kern w:val="0"/>
          <w:sz w:val="24"/>
          <w:szCs w:val="24"/>
          <w:lang w:bidi="ar"/>
        </w:rPr>
        <w:t>……</w:t>
      </w:r>
    </w:p>
    <w:p w14:paraId="084DDE37">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lang w:bidi="ar"/>
        </w:rPr>
        <w:t>以上企业，不属于大企业的分支机构，不存在控股股东为大企业的情形，也不存在与大企业的负责人为同一人的情形。</w:t>
      </w:r>
    </w:p>
    <w:p w14:paraId="558B0346">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lang w:bidi="ar"/>
        </w:rPr>
        <w:t>本企业对上述声明内容的真实性负责。如有虚假，将依法承担相应责任。</w:t>
      </w:r>
    </w:p>
    <w:p w14:paraId="23B19BAA">
      <w:pPr>
        <w:spacing w:line="360" w:lineRule="auto"/>
        <w:rPr>
          <w:rFonts w:ascii="宋体" w:hAnsi="宋体" w:cs="宋体"/>
          <w:color w:val="auto"/>
          <w:kern w:val="0"/>
          <w:sz w:val="24"/>
          <w:szCs w:val="24"/>
        </w:rPr>
      </w:pPr>
    </w:p>
    <w:p w14:paraId="767D1FBC">
      <w:pPr>
        <w:spacing w:line="360" w:lineRule="auto"/>
        <w:rPr>
          <w:rFonts w:ascii="宋体" w:hAnsi="宋体" w:cs="宋体"/>
          <w:color w:val="auto"/>
          <w:kern w:val="0"/>
          <w:sz w:val="24"/>
          <w:szCs w:val="24"/>
        </w:rPr>
      </w:pPr>
    </w:p>
    <w:p w14:paraId="3EA25E57">
      <w:pPr>
        <w:spacing w:line="360" w:lineRule="auto"/>
        <w:rPr>
          <w:rFonts w:ascii="宋体" w:hAnsi="宋体" w:cs="宋体"/>
          <w:color w:val="auto"/>
          <w:kern w:val="0"/>
          <w:sz w:val="24"/>
          <w:szCs w:val="24"/>
        </w:rPr>
      </w:pPr>
      <w:r>
        <w:rPr>
          <w:rFonts w:hint="eastAsia" w:ascii="宋体" w:hAnsi="宋体" w:cs="宋体"/>
          <w:color w:val="auto"/>
          <w:sz w:val="24"/>
          <w:szCs w:val="24"/>
          <w:lang w:bidi="ar"/>
        </w:rPr>
        <w:t>单位名称：XXXX（盖单位公章）</w:t>
      </w:r>
    </w:p>
    <w:p w14:paraId="73CCADEB">
      <w:pPr>
        <w:spacing w:line="360" w:lineRule="auto"/>
        <w:rPr>
          <w:rFonts w:ascii="宋体" w:hAnsi="宋体" w:cs="宋体"/>
          <w:color w:val="auto"/>
          <w:kern w:val="0"/>
          <w:sz w:val="24"/>
          <w:szCs w:val="24"/>
        </w:rPr>
      </w:pPr>
      <w:r>
        <w:rPr>
          <w:rFonts w:hint="eastAsia" w:ascii="宋体" w:hAnsi="宋体" w:cs="宋体"/>
          <w:color w:val="auto"/>
          <w:kern w:val="0"/>
          <w:sz w:val="24"/>
          <w:szCs w:val="24"/>
          <w:lang w:bidi="ar"/>
        </w:rPr>
        <w:t>日 期：</w:t>
      </w:r>
    </w:p>
    <w:p w14:paraId="7EA02957">
      <w:pPr>
        <w:spacing w:line="360" w:lineRule="auto"/>
        <w:rPr>
          <w:rFonts w:ascii="宋体" w:hAnsi="宋体" w:cs="宋体"/>
          <w:color w:val="auto"/>
          <w:kern w:val="0"/>
          <w:sz w:val="24"/>
          <w:szCs w:val="24"/>
        </w:rPr>
      </w:pPr>
    </w:p>
    <w:p w14:paraId="3B51EE31">
      <w:pPr>
        <w:spacing w:line="360" w:lineRule="auto"/>
        <w:ind w:firstLine="480" w:firstLineChars="200"/>
        <w:rPr>
          <w:color w:val="auto"/>
          <w:sz w:val="32"/>
          <w:szCs w:val="32"/>
        </w:rPr>
      </w:pPr>
      <w:r>
        <w:rPr>
          <w:rFonts w:hint="eastAsia" w:ascii="宋体" w:hAnsi="宋体" w:cs="宋体"/>
          <w:color w:val="auto"/>
          <w:kern w:val="0"/>
          <w:sz w:val="24"/>
          <w:szCs w:val="24"/>
          <w:lang w:bidi="ar"/>
        </w:rPr>
        <w:t>注：①从业人员、营业收入、资产总额填报上一年度数据，无上一年度数据的新成立企业可不填报；②此表供应商结合实际必填。</w:t>
      </w:r>
    </w:p>
    <w:p w14:paraId="139E1F51">
      <w:pPr>
        <w:spacing w:line="360" w:lineRule="auto"/>
        <w:ind w:firstLine="640" w:firstLineChars="200"/>
        <w:rPr>
          <w:color w:val="auto"/>
          <w:sz w:val="32"/>
          <w:szCs w:val="32"/>
        </w:rPr>
      </w:pPr>
    </w:p>
    <w:p w14:paraId="57223D1E">
      <w:pPr>
        <w:rPr>
          <w:color w:val="auto"/>
          <w:sz w:val="32"/>
          <w:szCs w:val="32"/>
        </w:rPr>
      </w:pPr>
    </w:p>
    <w:p w14:paraId="5EAB1038">
      <w:pPr>
        <w:rPr>
          <w:color w:val="auto"/>
          <w:sz w:val="32"/>
          <w:szCs w:val="32"/>
        </w:rPr>
      </w:pPr>
    </w:p>
    <w:p w14:paraId="5E87FFFF">
      <w:pPr>
        <w:rPr>
          <w:rFonts w:ascii="宋体" w:hAnsi="宋体"/>
          <w:b/>
          <w:bCs/>
          <w:color w:val="auto"/>
          <w:sz w:val="32"/>
          <w:szCs w:val="32"/>
        </w:rPr>
      </w:pPr>
    </w:p>
    <w:p w14:paraId="09D31B3B">
      <w:pPr>
        <w:jc w:val="center"/>
        <w:rPr>
          <w:rFonts w:ascii="宋体" w:hAnsi="宋体"/>
          <w:b/>
          <w:bCs/>
          <w:color w:val="auto"/>
          <w:sz w:val="32"/>
          <w:szCs w:val="32"/>
        </w:rPr>
      </w:pPr>
      <w:r>
        <w:rPr>
          <w:rFonts w:hint="eastAsia" w:ascii="宋体" w:hAnsi="宋体"/>
          <w:b/>
          <w:bCs/>
          <w:color w:val="auto"/>
          <w:sz w:val="32"/>
          <w:szCs w:val="32"/>
        </w:rPr>
        <w:br w:type="page"/>
      </w:r>
      <w:r>
        <w:rPr>
          <w:rFonts w:hint="eastAsia" w:ascii="宋体" w:hAnsi="宋体"/>
          <w:b/>
          <w:bCs/>
          <w:color w:val="auto"/>
          <w:sz w:val="32"/>
          <w:szCs w:val="32"/>
        </w:rPr>
        <w:t>七、残疾人福利性单位声明函</w:t>
      </w:r>
    </w:p>
    <w:p w14:paraId="405FD013">
      <w:pPr>
        <w:widowControl/>
        <w:spacing w:before="100" w:beforeAutospacing="1" w:after="100" w:afterAutospacing="1" w:line="432" w:lineRule="auto"/>
        <w:jc w:val="left"/>
        <w:rPr>
          <w:rFonts w:ascii="ˎ̥" w:hAnsi="ˎ̥" w:cs="宋体"/>
          <w:color w:val="auto"/>
          <w:kern w:val="0"/>
          <w:sz w:val="24"/>
        </w:rPr>
      </w:pPr>
      <w:r>
        <w:rPr>
          <w:rFonts w:ascii="ˎ̥" w:hAnsi="ˎ̥" w:cs="宋体"/>
          <w:color w:val="auto"/>
          <w:kern w:val="0"/>
          <w:sz w:val="24"/>
        </w:rPr>
        <w:t> </w:t>
      </w:r>
    </w:p>
    <w:p w14:paraId="0D0370E6">
      <w:pPr>
        <w:spacing w:line="400"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hint="eastAsia" w:ascii="宋体" w:hAnsi="宋体"/>
          <w:color w:val="auto"/>
          <w:sz w:val="24"/>
        </w:rPr>
        <w:t>〔</w:t>
      </w:r>
      <w:r>
        <w:rPr>
          <w:rFonts w:ascii="宋体" w:hAnsi="宋体"/>
          <w:color w:val="auto"/>
          <w:sz w:val="24"/>
        </w:rPr>
        <w:t>2017</w:t>
      </w:r>
      <w:r>
        <w:rPr>
          <w:rFonts w:hint="eastAsia" w:ascii="宋体" w:hAnsi="宋体"/>
          <w:color w:val="auto"/>
          <w:sz w:val="24"/>
        </w:rPr>
        <w:t>〕</w:t>
      </w:r>
      <w:r>
        <w:rPr>
          <w:rFonts w:ascii="宋体" w:hAnsi="宋体"/>
          <w:color w:val="auto"/>
          <w:sz w:val="24"/>
        </w:rPr>
        <w:t xml:space="preserve"> 141</w:t>
      </w:r>
      <w:r>
        <w:rPr>
          <w:rFonts w:hint="eastAsia" w:ascii="宋体" w:hAnsi="宋体"/>
          <w:color w:val="auto"/>
          <w:spacing w:val="6"/>
          <w:sz w:val="24"/>
        </w:rPr>
        <w:t>号）的规定，本单位为符合条件的残疾人福利性单位，且本单位参加</w:t>
      </w:r>
      <w:r>
        <w:rPr>
          <w:rFonts w:ascii="宋体" w:hAnsi="宋体"/>
          <w:color w:val="auto"/>
          <w:spacing w:val="6"/>
          <w:sz w:val="24"/>
        </w:rPr>
        <w:t>______</w:t>
      </w:r>
      <w:r>
        <w:rPr>
          <w:rFonts w:hint="eastAsia" w:ascii="宋体" w:hAnsi="宋体"/>
          <w:color w:val="auto"/>
          <w:spacing w:val="6"/>
          <w:sz w:val="24"/>
        </w:rPr>
        <w:t>单位的</w:t>
      </w:r>
      <w:r>
        <w:rPr>
          <w:rFonts w:ascii="宋体" w:hAnsi="宋体"/>
          <w:color w:val="auto"/>
          <w:spacing w:val="6"/>
          <w:sz w:val="24"/>
        </w:rPr>
        <w:t>______</w:t>
      </w:r>
      <w:r>
        <w:rPr>
          <w:rFonts w:hint="eastAsia" w:ascii="宋体" w:hAnsi="宋体"/>
          <w:color w:val="auto"/>
          <w:spacing w:val="6"/>
          <w:sz w:val="24"/>
        </w:rPr>
        <w:t>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14:paraId="3225A306">
      <w:pPr>
        <w:widowControl/>
        <w:spacing w:line="400" w:lineRule="exact"/>
        <w:ind w:firstLine="504" w:firstLineChars="200"/>
        <w:jc w:val="left"/>
        <w:rPr>
          <w:rFonts w:ascii="ˎ̥" w:hAnsi="ˎ̥" w:cs="宋体"/>
          <w:color w:val="auto"/>
          <w:kern w:val="0"/>
          <w:sz w:val="24"/>
        </w:rPr>
      </w:pPr>
      <w:r>
        <w:rPr>
          <w:rFonts w:hint="eastAsia" w:ascii="宋体" w:hAnsi="宋体"/>
          <w:color w:val="auto"/>
          <w:spacing w:val="6"/>
          <w:sz w:val="24"/>
        </w:rPr>
        <w:t>本单位对上述声明的真实性负责。如有虚假，将依法承担相应责任。</w:t>
      </w:r>
    </w:p>
    <w:p w14:paraId="1E6BAE76">
      <w:pPr>
        <w:widowControl/>
        <w:spacing w:line="400" w:lineRule="exact"/>
        <w:jc w:val="left"/>
        <w:rPr>
          <w:rFonts w:ascii="ˎ̥" w:hAnsi="ˎ̥" w:cs="宋体"/>
          <w:color w:val="auto"/>
          <w:kern w:val="0"/>
          <w:sz w:val="24"/>
        </w:rPr>
      </w:pPr>
    </w:p>
    <w:p w14:paraId="586FACBF">
      <w:pPr>
        <w:widowControl/>
        <w:spacing w:line="400" w:lineRule="exact"/>
        <w:jc w:val="left"/>
        <w:rPr>
          <w:rFonts w:ascii="ˎ̥" w:hAnsi="ˎ̥" w:cs="宋体"/>
          <w:color w:val="auto"/>
          <w:kern w:val="0"/>
          <w:sz w:val="24"/>
        </w:rPr>
      </w:pPr>
    </w:p>
    <w:p w14:paraId="2AAAE9CF">
      <w:pPr>
        <w:widowControl/>
        <w:spacing w:line="400" w:lineRule="exact"/>
        <w:jc w:val="left"/>
        <w:rPr>
          <w:rFonts w:ascii="ˎ̥" w:hAnsi="ˎ̥" w:cs="宋体"/>
          <w:color w:val="auto"/>
          <w:kern w:val="0"/>
          <w:sz w:val="24"/>
        </w:rPr>
      </w:pPr>
    </w:p>
    <w:p w14:paraId="45F8905C">
      <w:pPr>
        <w:widowControl/>
        <w:spacing w:line="400" w:lineRule="exact"/>
        <w:jc w:val="left"/>
        <w:rPr>
          <w:rFonts w:ascii="ˎ̥" w:hAnsi="ˎ̥" w:cs="宋体"/>
          <w:color w:val="auto"/>
          <w:kern w:val="0"/>
          <w:sz w:val="24"/>
        </w:rPr>
      </w:pPr>
    </w:p>
    <w:p w14:paraId="21A53086">
      <w:pPr>
        <w:widowControl/>
        <w:spacing w:line="400" w:lineRule="exact"/>
        <w:jc w:val="left"/>
        <w:rPr>
          <w:rFonts w:ascii="ˎ̥" w:hAnsi="ˎ̥" w:cs="宋体"/>
          <w:color w:val="auto"/>
          <w:kern w:val="0"/>
          <w:sz w:val="24"/>
        </w:rPr>
      </w:pPr>
      <w:r>
        <w:rPr>
          <w:rFonts w:hint="eastAsia" w:ascii="ˎ̥" w:hAnsi="ˎ̥" w:cs="宋体"/>
          <w:color w:val="auto"/>
          <w:kern w:val="0"/>
          <w:sz w:val="24"/>
        </w:rPr>
        <w:t>　　</w:t>
      </w:r>
    </w:p>
    <w:p w14:paraId="2EB67DD1">
      <w:pPr>
        <w:ind w:firstLine="480" w:firstLineChars="200"/>
        <w:jc w:val="left"/>
        <w:rPr>
          <w:rFonts w:ascii="宋体" w:hAnsi="宋体"/>
          <w:color w:val="auto"/>
          <w:sz w:val="24"/>
        </w:rPr>
      </w:pPr>
      <w:r>
        <w:rPr>
          <w:rFonts w:hint="eastAsia" w:ascii="宋体" w:hAnsi="宋体"/>
          <w:color w:val="auto"/>
          <w:sz w:val="24"/>
        </w:rPr>
        <w:t>单位名称：XXXX（盖单位公章）</w:t>
      </w:r>
    </w:p>
    <w:p w14:paraId="714BD3BC">
      <w:pPr>
        <w:ind w:firstLine="480" w:firstLineChars="200"/>
        <w:jc w:val="left"/>
        <w:rPr>
          <w:rFonts w:ascii="宋体" w:hAnsi="宋体"/>
          <w:color w:val="auto"/>
          <w:sz w:val="24"/>
        </w:rPr>
      </w:pPr>
      <w:r>
        <w:rPr>
          <w:rFonts w:hint="eastAsia" w:ascii="宋体" w:hAnsi="宋体"/>
          <w:color w:val="auto"/>
          <w:sz w:val="24"/>
        </w:rPr>
        <w:t>法定代表人或授权代表（签字）：XXXX</w:t>
      </w:r>
    </w:p>
    <w:p w14:paraId="100F7E62">
      <w:pPr>
        <w:ind w:firstLine="480" w:firstLineChars="200"/>
        <w:jc w:val="left"/>
        <w:rPr>
          <w:rFonts w:ascii="宋体" w:hAnsi="宋体"/>
          <w:color w:val="auto"/>
          <w:sz w:val="24"/>
        </w:rPr>
      </w:pPr>
      <w:r>
        <w:rPr>
          <w:rFonts w:hint="eastAsia" w:ascii="宋体" w:hAnsi="宋体"/>
          <w:color w:val="auto"/>
          <w:sz w:val="24"/>
        </w:rPr>
        <w:t>日期：XXXX</w:t>
      </w:r>
    </w:p>
    <w:p w14:paraId="65BA7A4D">
      <w:pPr>
        <w:pStyle w:val="2"/>
        <w:keepNext w:val="0"/>
        <w:keepLines w:val="0"/>
        <w:rPr>
          <w:color w:val="auto"/>
          <w:sz w:val="32"/>
          <w:szCs w:val="32"/>
        </w:rPr>
      </w:pPr>
    </w:p>
    <w:p w14:paraId="2FE35EAC">
      <w:pPr>
        <w:rPr>
          <w:color w:val="auto"/>
          <w:sz w:val="32"/>
          <w:szCs w:val="32"/>
        </w:rPr>
      </w:pPr>
    </w:p>
    <w:p w14:paraId="15A65C26">
      <w:pPr>
        <w:pStyle w:val="3"/>
        <w:keepNext w:val="0"/>
        <w:keepLines w:val="0"/>
        <w:spacing w:line="400" w:lineRule="exact"/>
        <w:jc w:val="center"/>
        <w:rPr>
          <w:rFonts w:ascii="宋体" w:hAnsi="宋体"/>
          <w:b w:val="0"/>
          <w:bCs w:val="0"/>
          <w:color w:val="auto"/>
          <w:szCs w:val="28"/>
        </w:rPr>
      </w:pPr>
      <w:bookmarkStart w:id="89" w:name="_Toc436410128"/>
      <w:bookmarkStart w:id="90" w:name="_Toc436404119"/>
      <w:bookmarkStart w:id="91" w:name="_Toc427141347"/>
      <w:bookmarkStart w:id="92" w:name="_Toc436820889"/>
      <w:bookmarkStart w:id="93" w:name="_Toc428777949"/>
      <w:bookmarkStart w:id="94" w:name="_Toc436385991"/>
    </w:p>
    <w:p w14:paraId="2478F276">
      <w:pPr>
        <w:pStyle w:val="3"/>
        <w:keepNext w:val="0"/>
        <w:keepLines w:val="0"/>
        <w:spacing w:line="400" w:lineRule="exact"/>
        <w:jc w:val="center"/>
        <w:rPr>
          <w:rFonts w:ascii="宋体" w:hAnsi="宋体"/>
          <w:b w:val="0"/>
          <w:bCs w:val="0"/>
          <w:color w:val="auto"/>
          <w:szCs w:val="28"/>
        </w:rPr>
      </w:pPr>
    </w:p>
    <w:p w14:paraId="7A032997">
      <w:pPr>
        <w:jc w:val="center"/>
        <w:rPr>
          <w:rFonts w:ascii="宋体" w:hAnsi="宋体"/>
          <w:b/>
          <w:bCs/>
          <w:color w:val="auto"/>
          <w:sz w:val="32"/>
          <w:szCs w:val="32"/>
        </w:rPr>
      </w:pPr>
      <w:r>
        <w:rPr>
          <w:rFonts w:hint="eastAsia" w:ascii="宋体" w:hAnsi="宋体"/>
          <w:b/>
          <w:bCs/>
          <w:color w:val="auto"/>
          <w:sz w:val="32"/>
          <w:szCs w:val="32"/>
        </w:rPr>
        <w:br w:type="page"/>
      </w:r>
      <w:r>
        <w:rPr>
          <w:rFonts w:hint="eastAsia" w:ascii="宋体" w:hAnsi="宋体"/>
          <w:b/>
          <w:bCs/>
          <w:color w:val="auto"/>
          <w:sz w:val="32"/>
          <w:szCs w:val="32"/>
        </w:rPr>
        <w:t>八、</w:t>
      </w:r>
      <w:bookmarkEnd w:id="89"/>
      <w:bookmarkEnd w:id="90"/>
      <w:bookmarkEnd w:id="91"/>
      <w:bookmarkEnd w:id="92"/>
      <w:bookmarkEnd w:id="93"/>
      <w:bookmarkEnd w:id="94"/>
      <w:r>
        <w:rPr>
          <w:rFonts w:hint="eastAsia" w:ascii="宋体" w:hAnsi="宋体"/>
          <w:b/>
          <w:bCs/>
          <w:color w:val="auto"/>
          <w:sz w:val="32"/>
          <w:szCs w:val="32"/>
        </w:rPr>
        <w:t>技术要求、商务应答表</w:t>
      </w:r>
    </w:p>
    <w:p w14:paraId="4CABA3BB">
      <w:pPr>
        <w:pStyle w:val="28"/>
        <w:pBdr>
          <w:bottom w:val="none" w:color="auto" w:sz="0" w:space="0"/>
        </w:pBdr>
        <w:tabs>
          <w:tab w:val="clear" w:pos="4153"/>
          <w:tab w:val="clear" w:pos="8306"/>
        </w:tabs>
        <w:snapToGrid/>
        <w:jc w:val="both"/>
        <w:rPr>
          <w:rFonts w:ascii="宋体" w:hAnsi="宋体"/>
          <w:color w:val="auto"/>
          <w:sz w:val="24"/>
          <w:szCs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4E1B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552BA698">
            <w:pPr>
              <w:jc w:val="center"/>
              <w:rPr>
                <w:rFonts w:ascii="宋体" w:hAnsi="宋体"/>
                <w:color w:val="auto"/>
                <w:sz w:val="24"/>
              </w:rPr>
            </w:pPr>
            <w:r>
              <w:rPr>
                <w:rFonts w:hint="eastAsia" w:ascii="宋体" w:hAnsi="宋体"/>
                <w:color w:val="auto"/>
                <w:sz w:val="24"/>
              </w:rPr>
              <w:t>序号</w:t>
            </w:r>
          </w:p>
        </w:tc>
        <w:tc>
          <w:tcPr>
            <w:tcW w:w="2795" w:type="dxa"/>
            <w:vAlign w:val="center"/>
          </w:tcPr>
          <w:p w14:paraId="71B39913">
            <w:pPr>
              <w:jc w:val="center"/>
              <w:rPr>
                <w:rFonts w:ascii="宋体" w:hAnsi="宋体"/>
                <w:color w:val="auto"/>
                <w:sz w:val="24"/>
              </w:rPr>
            </w:pPr>
            <w:r>
              <w:rPr>
                <w:rFonts w:hint="eastAsia" w:ascii="宋体" w:hAnsi="宋体"/>
                <w:color w:val="auto"/>
                <w:sz w:val="24"/>
              </w:rPr>
              <w:t>内容</w:t>
            </w:r>
          </w:p>
        </w:tc>
        <w:tc>
          <w:tcPr>
            <w:tcW w:w="2795" w:type="dxa"/>
            <w:vAlign w:val="center"/>
          </w:tcPr>
          <w:p w14:paraId="0B9D20E1">
            <w:pPr>
              <w:jc w:val="center"/>
              <w:rPr>
                <w:rFonts w:ascii="宋体" w:hAnsi="宋体"/>
                <w:color w:val="auto"/>
                <w:sz w:val="24"/>
              </w:rPr>
            </w:pPr>
            <w:r>
              <w:rPr>
                <w:rFonts w:hint="eastAsia" w:ascii="宋体" w:hAnsi="宋体"/>
                <w:color w:val="auto"/>
                <w:sz w:val="24"/>
              </w:rPr>
              <w:t>采购文件要求</w:t>
            </w:r>
          </w:p>
        </w:tc>
        <w:tc>
          <w:tcPr>
            <w:tcW w:w="2795" w:type="dxa"/>
            <w:vAlign w:val="center"/>
          </w:tcPr>
          <w:p w14:paraId="4FF1C25F">
            <w:pPr>
              <w:jc w:val="center"/>
              <w:rPr>
                <w:rFonts w:ascii="宋体" w:hAnsi="宋体"/>
                <w:color w:val="auto"/>
                <w:sz w:val="24"/>
              </w:rPr>
            </w:pPr>
            <w:r>
              <w:rPr>
                <w:rFonts w:hint="eastAsia" w:ascii="宋体" w:hAnsi="宋体"/>
                <w:color w:val="auto"/>
                <w:sz w:val="24"/>
              </w:rPr>
              <w:t>响应文件响应</w:t>
            </w:r>
          </w:p>
        </w:tc>
      </w:tr>
      <w:tr w14:paraId="6C2F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467CA5F8">
            <w:pPr>
              <w:jc w:val="center"/>
              <w:rPr>
                <w:rFonts w:ascii="宋体" w:hAnsi="宋体"/>
                <w:color w:val="auto"/>
                <w:sz w:val="24"/>
              </w:rPr>
            </w:pPr>
          </w:p>
        </w:tc>
        <w:tc>
          <w:tcPr>
            <w:tcW w:w="2795" w:type="dxa"/>
          </w:tcPr>
          <w:p w14:paraId="49DAFDFE">
            <w:pPr>
              <w:jc w:val="center"/>
              <w:rPr>
                <w:rFonts w:ascii="宋体" w:hAnsi="宋体"/>
                <w:color w:val="auto"/>
                <w:sz w:val="24"/>
              </w:rPr>
            </w:pPr>
          </w:p>
        </w:tc>
        <w:tc>
          <w:tcPr>
            <w:tcW w:w="2795" w:type="dxa"/>
          </w:tcPr>
          <w:p w14:paraId="1D760C8F">
            <w:pPr>
              <w:jc w:val="center"/>
              <w:rPr>
                <w:rFonts w:ascii="宋体" w:hAnsi="宋体"/>
                <w:color w:val="auto"/>
                <w:sz w:val="24"/>
              </w:rPr>
            </w:pPr>
          </w:p>
        </w:tc>
        <w:tc>
          <w:tcPr>
            <w:tcW w:w="2795" w:type="dxa"/>
          </w:tcPr>
          <w:p w14:paraId="2E711DFF">
            <w:pPr>
              <w:jc w:val="center"/>
              <w:rPr>
                <w:rFonts w:ascii="宋体" w:hAnsi="宋体"/>
                <w:color w:val="auto"/>
                <w:sz w:val="24"/>
              </w:rPr>
            </w:pPr>
          </w:p>
        </w:tc>
      </w:tr>
      <w:tr w14:paraId="2259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4412E6E3">
            <w:pPr>
              <w:jc w:val="center"/>
              <w:rPr>
                <w:rFonts w:ascii="宋体" w:hAnsi="宋体"/>
                <w:color w:val="auto"/>
                <w:sz w:val="24"/>
              </w:rPr>
            </w:pPr>
          </w:p>
        </w:tc>
        <w:tc>
          <w:tcPr>
            <w:tcW w:w="2795" w:type="dxa"/>
          </w:tcPr>
          <w:p w14:paraId="4819C6D2">
            <w:pPr>
              <w:jc w:val="center"/>
              <w:rPr>
                <w:rFonts w:ascii="宋体" w:hAnsi="宋体"/>
                <w:color w:val="auto"/>
                <w:sz w:val="24"/>
              </w:rPr>
            </w:pPr>
          </w:p>
        </w:tc>
        <w:tc>
          <w:tcPr>
            <w:tcW w:w="2795" w:type="dxa"/>
          </w:tcPr>
          <w:p w14:paraId="2E46606B">
            <w:pPr>
              <w:jc w:val="center"/>
              <w:rPr>
                <w:rFonts w:ascii="宋体" w:hAnsi="宋体"/>
                <w:color w:val="auto"/>
                <w:sz w:val="24"/>
              </w:rPr>
            </w:pPr>
          </w:p>
        </w:tc>
        <w:tc>
          <w:tcPr>
            <w:tcW w:w="2795" w:type="dxa"/>
          </w:tcPr>
          <w:p w14:paraId="17443858">
            <w:pPr>
              <w:jc w:val="center"/>
              <w:rPr>
                <w:rFonts w:ascii="宋体" w:hAnsi="宋体"/>
                <w:color w:val="auto"/>
                <w:sz w:val="24"/>
              </w:rPr>
            </w:pPr>
          </w:p>
        </w:tc>
      </w:tr>
      <w:tr w14:paraId="6327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C643863">
            <w:pPr>
              <w:jc w:val="center"/>
              <w:rPr>
                <w:rFonts w:ascii="宋体" w:hAnsi="宋体"/>
                <w:color w:val="auto"/>
                <w:sz w:val="24"/>
              </w:rPr>
            </w:pPr>
          </w:p>
        </w:tc>
        <w:tc>
          <w:tcPr>
            <w:tcW w:w="2795" w:type="dxa"/>
          </w:tcPr>
          <w:p w14:paraId="00A28FC1">
            <w:pPr>
              <w:jc w:val="center"/>
              <w:rPr>
                <w:rFonts w:ascii="宋体" w:hAnsi="宋体"/>
                <w:color w:val="auto"/>
                <w:sz w:val="24"/>
              </w:rPr>
            </w:pPr>
          </w:p>
        </w:tc>
        <w:tc>
          <w:tcPr>
            <w:tcW w:w="2795" w:type="dxa"/>
          </w:tcPr>
          <w:p w14:paraId="779F6D2D">
            <w:pPr>
              <w:jc w:val="center"/>
              <w:rPr>
                <w:rFonts w:ascii="宋体" w:hAnsi="宋体"/>
                <w:color w:val="auto"/>
                <w:sz w:val="24"/>
              </w:rPr>
            </w:pPr>
          </w:p>
        </w:tc>
        <w:tc>
          <w:tcPr>
            <w:tcW w:w="2795" w:type="dxa"/>
          </w:tcPr>
          <w:p w14:paraId="41A078C8">
            <w:pPr>
              <w:jc w:val="center"/>
              <w:rPr>
                <w:rFonts w:ascii="宋体" w:hAnsi="宋体"/>
                <w:color w:val="auto"/>
                <w:sz w:val="24"/>
              </w:rPr>
            </w:pPr>
          </w:p>
        </w:tc>
      </w:tr>
      <w:tr w14:paraId="1573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850B1D8">
            <w:pPr>
              <w:jc w:val="center"/>
              <w:rPr>
                <w:rFonts w:ascii="宋体" w:hAnsi="宋体"/>
                <w:color w:val="auto"/>
                <w:sz w:val="24"/>
              </w:rPr>
            </w:pPr>
          </w:p>
        </w:tc>
        <w:tc>
          <w:tcPr>
            <w:tcW w:w="2795" w:type="dxa"/>
          </w:tcPr>
          <w:p w14:paraId="3FB1263F">
            <w:pPr>
              <w:jc w:val="center"/>
              <w:rPr>
                <w:rFonts w:ascii="宋体" w:hAnsi="宋体"/>
                <w:color w:val="auto"/>
                <w:sz w:val="24"/>
              </w:rPr>
            </w:pPr>
          </w:p>
        </w:tc>
        <w:tc>
          <w:tcPr>
            <w:tcW w:w="2795" w:type="dxa"/>
          </w:tcPr>
          <w:p w14:paraId="2119F1FA">
            <w:pPr>
              <w:jc w:val="center"/>
              <w:rPr>
                <w:rFonts w:ascii="宋体" w:hAnsi="宋体"/>
                <w:color w:val="auto"/>
                <w:sz w:val="24"/>
              </w:rPr>
            </w:pPr>
          </w:p>
        </w:tc>
        <w:tc>
          <w:tcPr>
            <w:tcW w:w="2795" w:type="dxa"/>
          </w:tcPr>
          <w:p w14:paraId="0C951499">
            <w:pPr>
              <w:jc w:val="center"/>
              <w:rPr>
                <w:rFonts w:ascii="宋体" w:hAnsi="宋体"/>
                <w:color w:val="auto"/>
                <w:sz w:val="24"/>
              </w:rPr>
            </w:pPr>
          </w:p>
        </w:tc>
      </w:tr>
    </w:tbl>
    <w:p w14:paraId="16C3F992">
      <w:pPr>
        <w:ind w:firstLine="482" w:firstLineChars="200"/>
        <w:rPr>
          <w:rFonts w:ascii="宋体" w:hAnsi="宋体"/>
          <w:b/>
          <w:color w:val="auto"/>
          <w:sz w:val="24"/>
        </w:rPr>
      </w:pPr>
    </w:p>
    <w:p w14:paraId="52989505">
      <w:pPr>
        <w:ind w:firstLine="480" w:firstLineChars="200"/>
        <w:rPr>
          <w:rFonts w:ascii="宋体" w:hAnsi="宋体"/>
          <w:b/>
          <w:color w:val="auto"/>
          <w:sz w:val="24"/>
        </w:rPr>
      </w:pPr>
      <w:r>
        <w:rPr>
          <w:rFonts w:hint="eastAsia" w:ascii="宋体" w:hAnsi="宋体"/>
          <w:color w:val="auto"/>
          <w:sz w:val="24"/>
        </w:rPr>
        <w:t>注：供应商必须根据谈判文件要求据实逐条填写，不得虚假响应，虚假响应的，其响应文件无效并按规定追究其相关责任。</w:t>
      </w:r>
    </w:p>
    <w:p w14:paraId="5AEA4ECD">
      <w:pPr>
        <w:adjustRightInd w:val="0"/>
        <w:spacing w:line="400" w:lineRule="exact"/>
        <w:ind w:firstLine="480" w:firstLineChars="200"/>
        <w:jc w:val="left"/>
        <w:rPr>
          <w:rFonts w:ascii="宋体" w:hAnsi="宋体"/>
          <w:color w:val="auto"/>
          <w:sz w:val="24"/>
        </w:rPr>
      </w:pPr>
    </w:p>
    <w:p w14:paraId="49D90A80">
      <w:pP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供应商名称：XXX（盖单位公章）</w:t>
      </w:r>
    </w:p>
    <w:p w14:paraId="0BD7A267">
      <w:pPr>
        <w:adjustRightInd w:val="0"/>
        <w:spacing w:line="400" w:lineRule="exact"/>
        <w:ind w:firstLine="480" w:firstLineChars="200"/>
        <w:jc w:val="left"/>
        <w:rPr>
          <w:bCs/>
          <w:color w:val="auto"/>
          <w:sz w:val="24"/>
        </w:rPr>
      </w:pPr>
      <w:r>
        <w:rPr>
          <w:rFonts w:hint="eastAsia"/>
          <w:bCs/>
          <w:color w:val="auto"/>
          <w:sz w:val="24"/>
        </w:rPr>
        <w:t>法定代表人或授权代表（签字或盖章）：XXX</w:t>
      </w:r>
    </w:p>
    <w:p w14:paraId="78675BD3">
      <w:pPr>
        <w:adjustRightInd w:val="0"/>
        <w:spacing w:line="400" w:lineRule="exact"/>
        <w:ind w:firstLine="540" w:firstLineChars="225"/>
        <w:jc w:val="left"/>
        <w:rPr>
          <w:bCs/>
          <w:color w:val="auto"/>
          <w:sz w:val="24"/>
        </w:rPr>
      </w:pPr>
      <w:r>
        <w:rPr>
          <w:rFonts w:hint="eastAsia"/>
          <w:bCs/>
          <w:color w:val="auto"/>
          <w:sz w:val="24"/>
        </w:rPr>
        <w:t>日  期</w:t>
      </w:r>
      <w:r>
        <w:rPr>
          <w:rFonts w:hint="eastAsia" w:ascii="宋体" w:hAnsi="宋体"/>
          <w:color w:val="auto"/>
          <w:sz w:val="24"/>
        </w:rPr>
        <w:t>：</w:t>
      </w:r>
      <w:r>
        <w:rPr>
          <w:rFonts w:hint="eastAsia"/>
          <w:bCs/>
          <w:color w:val="auto"/>
          <w:sz w:val="24"/>
        </w:rPr>
        <w:t>XXX年XXX月XXX日</w:t>
      </w:r>
    </w:p>
    <w:p w14:paraId="6AACC37A">
      <w:pPr>
        <w:spacing w:line="400" w:lineRule="exact"/>
        <w:rPr>
          <w:rFonts w:ascii="宋体" w:hAnsi="宋体"/>
          <w:color w:val="auto"/>
        </w:rPr>
      </w:pPr>
    </w:p>
    <w:p w14:paraId="6D72E5C6">
      <w:pPr>
        <w:spacing w:line="400" w:lineRule="exact"/>
        <w:rPr>
          <w:rFonts w:ascii="宋体" w:hAnsi="宋体"/>
          <w:color w:val="auto"/>
        </w:rPr>
      </w:pPr>
    </w:p>
    <w:p w14:paraId="51D84B43">
      <w:pPr>
        <w:spacing w:line="400" w:lineRule="exact"/>
        <w:rPr>
          <w:rFonts w:ascii="宋体" w:hAnsi="宋体"/>
          <w:color w:val="auto"/>
        </w:rPr>
      </w:pPr>
    </w:p>
    <w:p w14:paraId="51191465">
      <w:pPr>
        <w:pStyle w:val="25"/>
        <w:tabs>
          <w:tab w:val="left" w:pos="0"/>
        </w:tabs>
        <w:rPr>
          <w:color w:val="auto"/>
        </w:rPr>
      </w:pPr>
    </w:p>
    <w:p w14:paraId="0392D3CF">
      <w:pPr>
        <w:pStyle w:val="25"/>
        <w:tabs>
          <w:tab w:val="left" w:pos="0"/>
        </w:tabs>
        <w:ind w:left="0" w:leftChars="0"/>
        <w:rPr>
          <w:color w:val="auto"/>
        </w:rPr>
      </w:pPr>
    </w:p>
    <w:p w14:paraId="79E8CEDC">
      <w:pPr>
        <w:adjustRightInd w:val="0"/>
        <w:spacing w:line="400" w:lineRule="exact"/>
        <w:jc w:val="left"/>
        <w:rPr>
          <w:bCs/>
          <w:color w:val="auto"/>
          <w:sz w:val="24"/>
        </w:rPr>
      </w:pPr>
    </w:p>
    <w:p w14:paraId="3006905C">
      <w:pPr>
        <w:jc w:val="center"/>
        <w:rPr>
          <w:rFonts w:ascii="宋体" w:hAnsi="宋体" w:cs="Arial"/>
          <w:b/>
          <w:bCs/>
          <w:color w:val="auto"/>
          <w:sz w:val="32"/>
          <w:szCs w:val="32"/>
        </w:rPr>
      </w:pPr>
      <w:r>
        <w:rPr>
          <w:rFonts w:hint="eastAsia" w:ascii="宋体" w:hAnsi="宋体" w:cs="Arial"/>
          <w:b/>
          <w:bCs/>
          <w:color w:val="auto"/>
          <w:sz w:val="32"/>
          <w:szCs w:val="32"/>
        </w:rPr>
        <w:br w:type="page"/>
      </w:r>
      <w:r>
        <w:rPr>
          <w:rFonts w:hint="eastAsia" w:ascii="宋体" w:hAnsi="宋体" w:cs="Arial"/>
          <w:b/>
          <w:bCs/>
          <w:color w:val="auto"/>
          <w:sz w:val="32"/>
          <w:szCs w:val="32"/>
        </w:rPr>
        <w:t>九、供应商类似项目业绩一览表</w:t>
      </w:r>
    </w:p>
    <w:p w14:paraId="16CF9E7A">
      <w:pPr>
        <w:spacing w:line="400" w:lineRule="exact"/>
        <w:rPr>
          <w:rFonts w:ascii="宋体" w:hAnsi="宋体" w:cs="Arial"/>
          <w:color w:val="auto"/>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57686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4D065BFA">
            <w:pPr>
              <w:spacing w:line="400" w:lineRule="exact"/>
              <w:ind w:firstLine="105" w:firstLineChars="50"/>
              <w:jc w:val="center"/>
              <w:rPr>
                <w:rFonts w:ascii="宋体" w:hAnsi="宋体" w:cs="Arial"/>
                <w:b/>
                <w:color w:val="auto"/>
              </w:rPr>
            </w:pPr>
            <w:r>
              <w:rPr>
                <w:rFonts w:hint="eastAsia" w:ascii="宋体" w:hAnsi="宋体" w:cs="Arial"/>
                <w:b/>
                <w:color w:val="auto"/>
              </w:rPr>
              <w:t>年份</w:t>
            </w:r>
          </w:p>
        </w:tc>
        <w:tc>
          <w:tcPr>
            <w:tcW w:w="1439" w:type="dxa"/>
            <w:vAlign w:val="center"/>
          </w:tcPr>
          <w:p w14:paraId="48048B9B">
            <w:pPr>
              <w:spacing w:line="400" w:lineRule="exact"/>
              <w:jc w:val="center"/>
              <w:rPr>
                <w:rFonts w:ascii="宋体" w:hAnsi="宋体" w:cs="Arial"/>
                <w:b/>
                <w:color w:val="auto"/>
              </w:rPr>
            </w:pPr>
            <w:r>
              <w:rPr>
                <w:rFonts w:hint="eastAsia" w:ascii="宋体" w:hAnsi="宋体" w:cs="Arial"/>
                <w:b/>
                <w:color w:val="auto"/>
              </w:rPr>
              <w:t>用户名称</w:t>
            </w:r>
          </w:p>
        </w:tc>
        <w:tc>
          <w:tcPr>
            <w:tcW w:w="1319" w:type="dxa"/>
            <w:vAlign w:val="center"/>
          </w:tcPr>
          <w:p w14:paraId="40D3E4B9">
            <w:pPr>
              <w:spacing w:line="400" w:lineRule="exact"/>
              <w:jc w:val="center"/>
              <w:rPr>
                <w:rFonts w:ascii="宋体" w:hAnsi="宋体" w:cs="Arial"/>
                <w:b/>
                <w:color w:val="auto"/>
              </w:rPr>
            </w:pPr>
            <w:r>
              <w:rPr>
                <w:rFonts w:ascii="宋体" w:hAnsi="宋体" w:cs="Arial"/>
                <w:b/>
                <w:color w:val="auto"/>
              </w:rPr>
              <w:t>项目名称</w:t>
            </w:r>
          </w:p>
        </w:tc>
        <w:tc>
          <w:tcPr>
            <w:tcW w:w="1160" w:type="dxa"/>
            <w:vAlign w:val="center"/>
          </w:tcPr>
          <w:p w14:paraId="31A359D3">
            <w:pPr>
              <w:spacing w:line="400" w:lineRule="exact"/>
              <w:jc w:val="center"/>
              <w:rPr>
                <w:rFonts w:ascii="宋体" w:hAnsi="宋体" w:cs="Arial"/>
                <w:b/>
                <w:color w:val="auto"/>
              </w:rPr>
            </w:pPr>
            <w:r>
              <w:rPr>
                <w:rFonts w:ascii="宋体" w:hAnsi="宋体" w:cs="Arial"/>
                <w:b/>
                <w:color w:val="auto"/>
              </w:rPr>
              <w:t>完成时间</w:t>
            </w:r>
          </w:p>
        </w:tc>
        <w:tc>
          <w:tcPr>
            <w:tcW w:w="1421" w:type="dxa"/>
            <w:gridSpan w:val="2"/>
            <w:vAlign w:val="center"/>
          </w:tcPr>
          <w:p w14:paraId="0C72BBDD">
            <w:pPr>
              <w:spacing w:line="400" w:lineRule="exact"/>
              <w:ind w:firstLine="105" w:firstLineChars="50"/>
              <w:jc w:val="center"/>
              <w:rPr>
                <w:rFonts w:ascii="宋体" w:hAnsi="宋体" w:cs="Arial"/>
                <w:b/>
                <w:color w:val="auto"/>
              </w:rPr>
            </w:pPr>
            <w:r>
              <w:rPr>
                <w:rFonts w:ascii="宋体" w:hAnsi="宋体" w:cs="Arial"/>
                <w:b/>
                <w:color w:val="auto"/>
              </w:rPr>
              <w:t>合同金额</w:t>
            </w:r>
          </w:p>
        </w:tc>
        <w:tc>
          <w:tcPr>
            <w:tcW w:w="1614" w:type="dxa"/>
            <w:gridSpan w:val="2"/>
            <w:tcBorders>
              <w:right w:val="single" w:color="auto" w:sz="4" w:space="0"/>
            </w:tcBorders>
            <w:vAlign w:val="center"/>
          </w:tcPr>
          <w:p w14:paraId="25924872">
            <w:pPr>
              <w:spacing w:line="400" w:lineRule="exact"/>
              <w:jc w:val="center"/>
              <w:rPr>
                <w:rFonts w:ascii="宋体" w:hAnsi="宋体" w:cs="Arial"/>
                <w:b/>
                <w:color w:val="auto"/>
              </w:rPr>
            </w:pPr>
            <w:r>
              <w:rPr>
                <w:rFonts w:hint="eastAsia" w:ascii="宋体" w:hAnsi="宋体" w:cs="Arial"/>
                <w:b/>
                <w:color w:val="auto"/>
              </w:rPr>
              <w:t>是否通过验收</w:t>
            </w:r>
          </w:p>
        </w:tc>
        <w:tc>
          <w:tcPr>
            <w:tcW w:w="1387" w:type="dxa"/>
            <w:gridSpan w:val="2"/>
            <w:tcBorders>
              <w:left w:val="single" w:color="auto" w:sz="4" w:space="0"/>
            </w:tcBorders>
            <w:vAlign w:val="center"/>
          </w:tcPr>
          <w:p w14:paraId="278E34A7">
            <w:pPr>
              <w:spacing w:line="400" w:lineRule="exact"/>
              <w:jc w:val="center"/>
              <w:rPr>
                <w:rFonts w:ascii="宋体" w:hAnsi="宋体" w:cs="Arial"/>
                <w:b/>
                <w:color w:val="auto"/>
              </w:rPr>
            </w:pPr>
            <w:r>
              <w:rPr>
                <w:rFonts w:hint="eastAsia" w:ascii="宋体" w:hAnsi="宋体" w:cs="Arial"/>
                <w:b/>
                <w:color w:val="auto"/>
              </w:rPr>
              <w:t>备注</w:t>
            </w:r>
          </w:p>
        </w:tc>
      </w:tr>
      <w:tr w14:paraId="2B41A6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B331AD0">
            <w:pPr>
              <w:spacing w:line="400" w:lineRule="exact"/>
              <w:jc w:val="center"/>
              <w:rPr>
                <w:rFonts w:ascii="宋体" w:hAnsi="宋体" w:cs="Arial"/>
                <w:color w:val="auto"/>
              </w:rPr>
            </w:pPr>
          </w:p>
        </w:tc>
        <w:tc>
          <w:tcPr>
            <w:tcW w:w="1439" w:type="dxa"/>
            <w:vAlign w:val="center"/>
          </w:tcPr>
          <w:p w14:paraId="2F6554D0">
            <w:pPr>
              <w:spacing w:line="400" w:lineRule="exact"/>
              <w:jc w:val="center"/>
              <w:rPr>
                <w:rFonts w:ascii="宋体" w:hAnsi="宋体" w:cs="Arial"/>
                <w:color w:val="auto"/>
              </w:rPr>
            </w:pPr>
          </w:p>
        </w:tc>
        <w:tc>
          <w:tcPr>
            <w:tcW w:w="1319" w:type="dxa"/>
            <w:vAlign w:val="center"/>
          </w:tcPr>
          <w:p w14:paraId="69098907">
            <w:pPr>
              <w:spacing w:line="400" w:lineRule="exact"/>
              <w:jc w:val="center"/>
              <w:rPr>
                <w:rFonts w:ascii="宋体" w:hAnsi="宋体" w:cs="Arial"/>
                <w:color w:val="auto"/>
              </w:rPr>
            </w:pPr>
          </w:p>
        </w:tc>
        <w:tc>
          <w:tcPr>
            <w:tcW w:w="1160" w:type="dxa"/>
            <w:vAlign w:val="center"/>
          </w:tcPr>
          <w:p w14:paraId="2AFC7506">
            <w:pPr>
              <w:spacing w:line="400" w:lineRule="exact"/>
              <w:jc w:val="center"/>
              <w:rPr>
                <w:rFonts w:ascii="宋体" w:hAnsi="宋体" w:cs="Arial"/>
                <w:color w:val="auto"/>
              </w:rPr>
            </w:pPr>
          </w:p>
        </w:tc>
        <w:tc>
          <w:tcPr>
            <w:tcW w:w="1421" w:type="dxa"/>
            <w:gridSpan w:val="2"/>
            <w:vAlign w:val="center"/>
          </w:tcPr>
          <w:p w14:paraId="1C4ACD9F">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56AF797B">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62B83E91">
            <w:pPr>
              <w:spacing w:line="400" w:lineRule="exact"/>
              <w:jc w:val="center"/>
              <w:rPr>
                <w:rFonts w:ascii="宋体" w:hAnsi="宋体" w:cs="Arial"/>
                <w:color w:val="auto"/>
              </w:rPr>
            </w:pPr>
          </w:p>
        </w:tc>
      </w:tr>
      <w:tr w14:paraId="4B199C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37D3264">
            <w:pPr>
              <w:spacing w:line="400" w:lineRule="exact"/>
              <w:jc w:val="center"/>
              <w:rPr>
                <w:rFonts w:ascii="宋体" w:hAnsi="宋体" w:cs="Arial"/>
                <w:color w:val="auto"/>
              </w:rPr>
            </w:pPr>
          </w:p>
        </w:tc>
        <w:tc>
          <w:tcPr>
            <w:tcW w:w="1439" w:type="dxa"/>
            <w:vAlign w:val="center"/>
          </w:tcPr>
          <w:p w14:paraId="3C0840D0">
            <w:pPr>
              <w:spacing w:line="400" w:lineRule="exact"/>
              <w:jc w:val="center"/>
              <w:rPr>
                <w:rFonts w:ascii="宋体" w:hAnsi="宋体" w:cs="Arial"/>
                <w:color w:val="auto"/>
              </w:rPr>
            </w:pPr>
          </w:p>
        </w:tc>
        <w:tc>
          <w:tcPr>
            <w:tcW w:w="1319" w:type="dxa"/>
            <w:vAlign w:val="center"/>
          </w:tcPr>
          <w:p w14:paraId="6AD454AB">
            <w:pPr>
              <w:spacing w:line="400" w:lineRule="exact"/>
              <w:jc w:val="center"/>
              <w:rPr>
                <w:rFonts w:ascii="宋体" w:hAnsi="宋体" w:cs="Arial"/>
                <w:color w:val="auto"/>
              </w:rPr>
            </w:pPr>
          </w:p>
        </w:tc>
        <w:tc>
          <w:tcPr>
            <w:tcW w:w="1160" w:type="dxa"/>
            <w:vAlign w:val="center"/>
          </w:tcPr>
          <w:p w14:paraId="5F38A4BA">
            <w:pPr>
              <w:spacing w:line="400" w:lineRule="exact"/>
              <w:jc w:val="center"/>
              <w:rPr>
                <w:rFonts w:ascii="宋体" w:hAnsi="宋体" w:cs="Arial"/>
                <w:color w:val="auto"/>
              </w:rPr>
            </w:pPr>
          </w:p>
        </w:tc>
        <w:tc>
          <w:tcPr>
            <w:tcW w:w="1421" w:type="dxa"/>
            <w:gridSpan w:val="2"/>
            <w:vAlign w:val="center"/>
          </w:tcPr>
          <w:p w14:paraId="1E9BD083">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315BE37C">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6E89BAEA">
            <w:pPr>
              <w:spacing w:line="400" w:lineRule="exact"/>
              <w:jc w:val="center"/>
              <w:rPr>
                <w:rFonts w:ascii="宋体" w:hAnsi="宋体" w:cs="Arial"/>
                <w:color w:val="auto"/>
              </w:rPr>
            </w:pPr>
          </w:p>
        </w:tc>
      </w:tr>
      <w:tr w14:paraId="60D15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E45A1AD">
            <w:pPr>
              <w:spacing w:line="400" w:lineRule="exact"/>
              <w:jc w:val="center"/>
              <w:rPr>
                <w:rFonts w:ascii="宋体" w:hAnsi="宋体" w:cs="Arial"/>
                <w:color w:val="auto"/>
              </w:rPr>
            </w:pPr>
          </w:p>
        </w:tc>
        <w:tc>
          <w:tcPr>
            <w:tcW w:w="1439" w:type="dxa"/>
            <w:vAlign w:val="center"/>
          </w:tcPr>
          <w:p w14:paraId="08E738E8">
            <w:pPr>
              <w:spacing w:line="400" w:lineRule="exact"/>
              <w:jc w:val="center"/>
              <w:rPr>
                <w:rFonts w:ascii="宋体" w:hAnsi="宋体" w:cs="Arial"/>
                <w:color w:val="auto"/>
              </w:rPr>
            </w:pPr>
          </w:p>
        </w:tc>
        <w:tc>
          <w:tcPr>
            <w:tcW w:w="1319" w:type="dxa"/>
            <w:vAlign w:val="center"/>
          </w:tcPr>
          <w:p w14:paraId="6479D173">
            <w:pPr>
              <w:spacing w:line="400" w:lineRule="exact"/>
              <w:jc w:val="center"/>
              <w:rPr>
                <w:rFonts w:ascii="宋体" w:hAnsi="宋体" w:cs="Arial"/>
                <w:color w:val="auto"/>
              </w:rPr>
            </w:pPr>
          </w:p>
        </w:tc>
        <w:tc>
          <w:tcPr>
            <w:tcW w:w="1160" w:type="dxa"/>
            <w:vAlign w:val="center"/>
          </w:tcPr>
          <w:p w14:paraId="3A1CD225">
            <w:pPr>
              <w:spacing w:line="400" w:lineRule="exact"/>
              <w:jc w:val="center"/>
              <w:rPr>
                <w:rFonts w:ascii="宋体" w:hAnsi="宋体" w:cs="Arial"/>
                <w:color w:val="auto"/>
              </w:rPr>
            </w:pPr>
          </w:p>
        </w:tc>
        <w:tc>
          <w:tcPr>
            <w:tcW w:w="1421" w:type="dxa"/>
            <w:gridSpan w:val="2"/>
            <w:vAlign w:val="center"/>
          </w:tcPr>
          <w:p w14:paraId="56680BB5">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7D75C078">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23562543">
            <w:pPr>
              <w:spacing w:line="400" w:lineRule="exact"/>
              <w:jc w:val="center"/>
              <w:rPr>
                <w:rFonts w:ascii="宋体" w:hAnsi="宋体" w:cs="Arial"/>
                <w:color w:val="auto"/>
              </w:rPr>
            </w:pPr>
          </w:p>
        </w:tc>
      </w:tr>
      <w:tr w14:paraId="72A0E3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C3B3F14">
            <w:pPr>
              <w:spacing w:line="400" w:lineRule="exact"/>
              <w:jc w:val="center"/>
              <w:rPr>
                <w:rFonts w:ascii="宋体" w:hAnsi="宋体" w:cs="Arial"/>
                <w:color w:val="auto"/>
              </w:rPr>
            </w:pPr>
          </w:p>
        </w:tc>
        <w:tc>
          <w:tcPr>
            <w:tcW w:w="1439" w:type="dxa"/>
            <w:tcBorders>
              <w:right w:val="single" w:color="auto" w:sz="4" w:space="0"/>
            </w:tcBorders>
            <w:vAlign w:val="center"/>
          </w:tcPr>
          <w:p w14:paraId="1A6DF11C">
            <w:pPr>
              <w:spacing w:line="400" w:lineRule="exact"/>
              <w:jc w:val="center"/>
              <w:rPr>
                <w:rFonts w:ascii="宋体" w:hAnsi="宋体" w:cs="Arial"/>
                <w:color w:val="auto"/>
              </w:rPr>
            </w:pPr>
          </w:p>
        </w:tc>
        <w:tc>
          <w:tcPr>
            <w:tcW w:w="1319" w:type="dxa"/>
            <w:tcBorders>
              <w:left w:val="single" w:color="auto" w:sz="4" w:space="0"/>
            </w:tcBorders>
            <w:vAlign w:val="center"/>
          </w:tcPr>
          <w:p w14:paraId="039580E6">
            <w:pPr>
              <w:spacing w:line="400" w:lineRule="exact"/>
              <w:jc w:val="center"/>
              <w:rPr>
                <w:rFonts w:ascii="宋体" w:hAnsi="宋体" w:cs="Arial"/>
                <w:color w:val="auto"/>
              </w:rPr>
            </w:pPr>
          </w:p>
        </w:tc>
        <w:tc>
          <w:tcPr>
            <w:tcW w:w="1160" w:type="dxa"/>
            <w:vAlign w:val="center"/>
          </w:tcPr>
          <w:p w14:paraId="44160FF4">
            <w:pPr>
              <w:spacing w:line="400" w:lineRule="exact"/>
              <w:jc w:val="center"/>
              <w:rPr>
                <w:rFonts w:ascii="宋体" w:hAnsi="宋体" w:cs="Arial"/>
                <w:color w:val="auto"/>
              </w:rPr>
            </w:pPr>
          </w:p>
        </w:tc>
        <w:tc>
          <w:tcPr>
            <w:tcW w:w="1421" w:type="dxa"/>
            <w:gridSpan w:val="2"/>
            <w:vAlign w:val="center"/>
          </w:tcPr>
          <w:p w14:paraId="5602B2ED">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2D058F6B">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22F38162">
            <w:pPr>
              <w:spacing w:line="400" w:lineRule="exact"/>
              <w:jc w:val="center"/>
              <w:rPr>
                <w:rFonts w:ascii="宋体" w:hAnsi="宋体" w:cs="Arial"/>
                <w:color w:val="auto"/>
              </w:rPr>
            </w:pPr>
          </w:p>
        </w:tc>
      </w:tr>
      <w:tr w14:paraId="3BA485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7752929">
            <w:pPr>
              <w:spacing w:line="400" w:lineRule="exact"/>
              <w:rPr>
                <w:rFonts w:ascii="宋体" w:hAnsi="宋体" w:cs="Arial"/>
                <w:color w:val="auto"/>
              </w:rPr>
            </w:pPr>
          </w:p>
        </w:tc>
        <w:tc>
          <w:tcPr>
            <w:tcW w:w="1439" w:type="dxa"/>
            <w:tcBorders>
              <w:left w:val="single" w:color="auto" w:sz="4" w:space="0"/>
              <w:right w:val="single" w:color="auto" w:sz="4" w:space="0"/>
            </w:tcBorders>
            <w:vAlign w:val="center"/>
          </w:tcPr>
          <w:p w14:paraId="20885334">
            <w:pPr>
              <w:spacing w:line="400" w:lineRule="exact"/>
              <w:rPr>
                <w:rFonts w:ascii="宋体" w:hAnsi="宋体" w:cs="Arial"/>
                <w:color w:val="auto"/>
              </w:rPr>
            </w:pPr>
          </w:p>
        </w:tc>
        <w:tc>
          <w:tcPr>
            <w:tcW w:w="1319" w:type="dxa"/>
            <w:tcBorders>
              <w:left w:val="single" w:color="auto" w:sz="4" w:space="0"/>
              <w:right w:val="single" w:color="auto" w:sz="4" w:space="0"/>
            </w:tcBorders>
            <w:vAlign w:val="center"/>
          </w:tcPr>
          <w:p w14:paraId="72F5606A">
            <w:pPr>
              <w:spacing w:line="400" w:lineRule="exact"/>
              <w:rPr>
                <w:rFonts w:ascii="宋体" w:hAnsi="宋体" w:cs="Arial"/>
                <w:color w:val="auto"/>
              </w:rPr>
            </w:pPr>
          </w:p>
        </w:tc>
        <w:tc>
          <w:tcPr>
            <w:tcW w:w="1160" w:type="dxa"/>
            <w:tcBorders>
              <w:left w:val="single" w:color="auto" w:sz="4" w:space="0"/>
              <w:right w:val="single" w:color="auto" w:sz="4" w:space="0"/>
            </w:tcBorders>
            <w:vAlign w:val="center"/>
          </w:tcPr>
          <w:p w14:paraId="4C8BCC8B">
            <w:pPr>
              <w:spacing w:line="400" w:lineRule="exact"/>
              <w:rPr>
                <w:rFonts w:ascii="宋体" w:hAnsi="宋体" w:cs="Arial"/>
                <w:color w:val="auto"/>
              </w:rPr>
            </w:pPr>
          </w:p>
        </w:tc>
        <w:tc>
          <w:tcPr>
            <w:tcW w:w="1415" w:type="dxa"/>
            <w:tcBorders>
              <w:left w:val="single" w:color="auto" w:sz="4" w:space="0"/>
              <w:right w:val="single" w:color="auto" w:sz="4" w:space="0"/>
            </w:tcBorders>
            <w:vAlign w:val="center"/>
          </w:tcPr>
          <w:p w14:paraId="1171FB5D">
            <w:pPr>
              <w:spacing w:line="400" w:lineRule="exact"/>
              <w:rPr>
                <w:rFonts w:ascii="宋体" w:hAnsi="宋体" w:cs="Arial"/>
                <w:color w:val="auto"/>
              </w:rPr>
            </w:pPr>
          </w:p>
        </w:tc>
        <w:tc>
          <w:tcPr>
            <w:tcW w:w="1605" w:type="dxa"/>
            <w:gridSpan w:val="2"/>
            <w:tcBorders>
              <w:left w:val="single" w:color="auto" w:sz="4" w:space="0"/>
              <w:right w:val="single" w:color="auto" w:sz="4" w:space="0"/>
            </w:tcBorders>
            <w:vAlign w:val="center"/>
          </w:tcPr>
          <w:p w14:paraId="7FC612E2">
            <w:pPr>
              <w:spacing w:line="400" w:lineRule="exact"/>
              <w:rPr>
                <w:rFonts w:ascii="宋体" w:hAnsi="宋体" w:cs="Arial"/>
                <w:color w:val="auto"/>
              </w:rPr>
            </w:pPr>
          </w:p>
        </w:tc>
        <w:tc>
          <w:tcPr>
            <w:tcW w:w="1392" w:type="dxa"/>
            <w:gridSpan w:val="2"/>
            <w:tcBorders>
              <w:left w:val="single" w:color="auto" w:sz="4" w:space="0"/>
            </w:tcBorders>
            <w:vAlign w:val="center"/>
          </w:tcPr>
          <w:p w14:paraId="48CD3D4B">
            <w:pPr>
              <w:spacing w:line="400" w:lineRule="exact"/>
              <w:rPr>
                <w:rFonts w:ascii="宋体" w:hAnsi="宋体" w:cs="Arial"/>
                <w:color w:val="auto"/>
              </w:rPr>
            </w:pPr>
          </w:p>
        </w:tc>
      </w:tr>
      <w:tr w14:paraId="36991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C2C2602">
            <w:pPr>
              <w:spacing w:line="400" w:lineRule="exact"/>
              <w:rPr>
                <w:rFonts w:ascii="宋体" w:hAnsi="宋体" w:cs="Arial"/>
                <w:color w:val="auto"/>
              </w:rPr>
            </w:pPr>
          </w:p>
        </w:tc>
        <w:tc>
          <w:tcPr>
            <w:tcW w:w="1439" w:type="dxa"/>
            <w:vAlign w:val="center"/>
          </w:tcPr>
          <w:p w14:paraId="5A6A406C">
            <w:pPr>
              <w:spacing w:line="400" w:lineRule="exact"/>
              <w:rPr>
                <w:rFonts w:ascii="宋体" w:hAnsi="宋体" w:cs="Arial"/>
                <w:color w:val="auto"/>
              </w:rPr>
            </w:pPr>
          </w:p>
        </w:tc>
        <w:tc>
          <w:tcPr>
            <w:tcW w:w="1319" w:type="dxa"/>
            <w:vAlign w:val="center"/>
          </w:tcPr>
          <w:p w14:paraId="40A3DFF1">
            <w:pPr>
              <w:spacing w:line="400" w:lineRule="exact"/>
              <w:rPr>
                <w:rFonts w:ascii="宋体" w:hAnsi="宋体" w:cs="Arial"/>
                <w:color w:val="auto"/>
              </w:rPr>
            </w:pPr>
          </w:p>
        </w:tc>
        <w:tc>
          <w:tcPr>
            <w:tcW w:w="1160" w:type="dxa"/>
            <w:vAlign w:val="center"/>
          </w:tcPr>
          <w:p w14:paraId="78FABA59">
            <w:pPr>
              <w:spacing w:line="400" w:lineRule="exact"/>
              <w:rPr>
                <w:rFonts w:ascii="宋体" w:hAnsi="宋体" w:cs="Arial"/>
                <w:color w:val="auto"/>
              </w:rPr>
            </w:pPr>
          </w:p>
        </w:tc>
        <w:tc>
          <w:tcPr>
            <w:tcW w:w="1421" w:type="dxa"/>
            <w:gridSpan w:val="2"/>
            <w:tcBorders>
              <w:right w:val="single" w:color="auto" w:sz="4" w:space="0"/>
            </w:tcBorders>
            <w:vAlign w:val="center"/>
          </w:tcPr>
          <w:p w14:paraId="3E6B7017">
            <w:pPr>
              <w:spacing w:line="400" w:lineRule="exact"/>
              <w:rPr>
                <w:rFonts w:ascii="宋体" w:hAnsi="宋体" w:cs="Arial"/>
                <w:color w:val="auto"/>
              </w:rPr>
            </w:pPr>
          </w:p>
        </w:tc>
        <w:tc>
          <w:tcPr>
            <w:tcW w:w="1614" w:type="dxa"/>
            <w:gridSpan w:val="2"/>
            <w:tcBorders>
              <w:left w:val="single" w:color="auto" w:sz="4" w:space="0"/>
              <w:right w:val="single" w:color="auto" w:sz="4" w:space="0"/>
            </w:tcBorders>
            <w:vAlign w:val="center"/>
          </w:tcPr>
          <w:p w14:paraId="5FBE5142">
            <w:pPr>
              <w:spacing w:line="400" w:lineRule="exact"/>
              <w:rPr>
                <w:rFonts w:ascii="宋体" w:hAnsi="宋体" w:cs="Arial"/>
                <w:color w:val="auto"/>
              </w:rPr>
            </w:pPr>
          </w:p>
        </w:tc>
        <w:tc>
          <w:tcPr>
            <w:tcW w:w="1387" w:type="dxa"/>
            <w:gridSpan w:val="2"/>
            <w:tcBorders>
              <w:left w:val="single" w:color="auto" w:sz="4" w:space="0"/>
            </w:tcBorders>
            <w:vAlign w:val="center"/>
          </w:tcPr>
          <w:p w14:paraId="57533F46">
            <w:pPr>
              <w:spacing w:line="400" w:lineRule="exact"/>
              <w:rPr>
                <w:rFonts w:ascii="宋体" w:hAnsi="宋体" w:cs="Arial"/>
                <w:color w:val="auto"/>
              </w:rPr>
            </w:pPr>
          </w:p>
        </w:tc>
      </w:tr>
      <w:tr w14:paraId="67E31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9874BB1">
            <w:pPr>
              <w:spacing w:line="400" w:lineRule="exact"/>
              <w:jc w:val="center"/>
              <w:rPr>
                <w:rFonts w:ascii="宋体" w:hAnsi="宋体" w:cs="Arial"/>
                <w:color w:val="auto"/>
              </w:rPr>
            </w:pPr>
          </w:p>
        </w:tc>
        <w:tc>
          <w:tcPr>
            <w:tcW w:w="1439" w:type="dxa"/>
            <w:vAlign w:val="center"/>
          </w:tcPr>
          <w:p w14:paraId="5FF6C44E">
            <w:pPr>
              <w:spacing w:line="400" w:lineRule="exact"/>
              <w:jc w:val="center"/>
              <w:rPr>
                <w:rFonts w:ascii="宋体" w:hAnsi="宋体" w:cs="Arial"/>
                <w:color w:val="auto"/>
              </w:rPr>
            </w:pPr>
          </w:p>
        </w:tc>
        <w:tc>
          <w:tcPr>
            <w:tcW w:w="1319" w:type="dxa"/>
            <w:vAlign w:val="center"/>
          </w:tcPr>
          <w:p w14:paraId="3A329B69">
            <w:pPr>
              <w:spacing w:line="400" w:lineRule="exact"/>
              <w:jc w:val="center"/>
              <w:rPr>
                <w:rFonts w:ascii="宋体" w:hAnsi="宋体" w:cs="Arial"/>
                <w:color w:val="auto"/>
              </w:rPr>
            </w:pPr>
          </w:p>
        </w:tc>
        <w:tc>
          <w:tcPr>
            <w:tcW w:w="1160" w:type="dxa"/>
            <w:vAlign w:val="center"/>
          </w:tcPr>
          <w:p w14:paraId="593E8561">
            <w:pPr>
              <w:spacing w:line="400" w:lineRule="exact"/>
              <w:jc w:val="center"/>
              <w:rPr>
                <w:rFonts w:ascii="宋体" w:hAnsi="宋体" w:cs="Arial"/>
                <w:color w:val="auto"/>
              </w:rPr>
            </w:pPr>
          </w:p>
        </w:tc>
        <w:tc>
          <w:tcPr>
            <w:tcW w:w="1421" w:type="dxa"/>
            <w:gridSpan w:val="2"/>
            <w:tcBorders>
              <w:right w:val="single" w:color="auto" w:sz="4" w:space="0"/>
            </w:tcBorders>
            <w:vAlign w:val="center"/>
          </w:tcPr>
          <w:p w14:paraId="505CDFDB">
            <w:pPr>
              <w:spacing w:line="400" w:lineRule="exact"/>
              <w:jc w:val="center"/>
              <w:rPr>
                <w:rFonts w:ascii="宋体" w:hAnsi="宋体" w:cs="Arial"/>
                <w:color w:val="auto"/>
              </w:rPr>
            </w:pPr>
          </w:p>
        </w:tc>
        <w:tc>
          <w:tcPr>
            <w:tcW w:w="1614" w:type="dxa"/>
            <w:gridSpan w:val="2"/>
            <w:tcBorders>
              <w:left w:val="single" w:color="auto" w:sz="4" w:space="0"/>
              <w:right w:val="single" w:color="auto" w:sz="4" w:space="0"/>
            </w:tcBorders>
            <w:vAlign w:val="center"/>
          </w:tcPr>
          <w:p w14:paraId="3FF2FC2D">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54406B45">
            <w:pPr>
              <w:spacing w:line="400" w:lineRule="exact"/>
              <w:jc w:val="center"/>
              <w:rPr>
                <w:rFonts w:ascii="宋体" w:hAnsi="宋体" w:cs="Arial"/>
                <w:color w:val="auto"/>
              </w:rPr>
            </w:pPr>
          </w:p>
        </w:tc>
      </w:tr>
      <w:tr w14:paraId="29B23D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8E80ABE">
            <w:pPr>
              <w:spacing w:line="400" w:lineRule="exact"/>
              <w:jc w:val="center"/>
              <w:rPr>
                <w:rFonts w:ascii="宋体" w:hAnsi="宋体" w:cs="Arial"/>
                <w:color w:val="auto"/>
              </w:rPr>
            </w:pPr>
          </w:p>
        </w:tc>
        <w:tc>
          <w:tcPr>
            <w:tcW w:w="1439" w:type="dxa"/>
            <w:vAlign w:val="center"/>
          </w:tcPr>
          <w:p w14:paraId="56BC28BB">
            <w:pPr>
              <w:spacing w:line="400" w:lineRule="exact"/>
              <w:jc w:val="center"/>
              <w:rPr>
                <w:rFonts w:ascii="宋体" w:hAnsi="宋体" w:cs="Arial"/>
                <w:color w:val="auto"/>
              </w:rPr>
            </w:pPr>
          </w:p>
        </w:tc>
        <w:tc>
          <w:tcPr>
            <w:tcW w:w="1319" w:type="dxa"/>
            <w:vAlign w:val="center"/>
          </w:tcPr>
          <w:p w14:paraId="28C3FEED">
            <w:pPr>
              <w:spacing w:line="400" w:lineRule="exact"/>
              <w:jc w:val="center"/>
              <w:rPr>
                <w:rFonts w:ascii="宋体" w:hAnsi="宋体" w:cs="Arial"/>
                <w:color w:val="auto"/>
              </w:rPr>
            </w:pPr>
          </w:p>
        </w:tc>
        <w:tc>
          <w:tcPr>
            <w:tcW w:w="1160" w:type="dxa"/>
            <w:vAlign w:val="center"/>
          </w:tcPr>
          <w:p w14:paraId="4F867D32">
            <w:pPr>
              <w:spacing w:line="400" w:lineRule="exact"/>
              <w:jc w:val="center"/>
              <w:rPr>
                <w:rFonts w:ascii="宋体" w:hAnsi="宋体" w:cs="Arial"/>
                <w:color w:val="auto"/>
              </w:rPr>
            </w:pPr>
          </w:p>
        </w:tc>
        <w:tc>
          <w:tcPr>
            <w:tcW w:w="1421" w:type="dxa"/>
            <w:gridSpan w:val="2"/>
            <w:tcBorders>
              <w:right w:val="single" w:color="auto" w:sz="4" w:space="0"/>
            </w:tcBorders>
            <w:vAlign w:val="center"/>
          </w:tcPr>
          <w:p w14:paraId="447FE4D3">
            <w:pPr>
              <w:spacing w:line="400" w:lineRule="exact"/>
              <w:jc w:val="center"/>
              <w:rPr>
                <w:rFonts w:ascii="宋体" w:hAnsi="宋体" w:cs="Arial"/>
                <w:color w:val="auto"/>
              </w:rPr>
            </w:pPr>
          </w:p>
        </w:tc>
        <w:tc>
          <w:tcPr>
            <w:tcW w:w="1614" w:type="dxa"/>
            <w:gridSpan w:val="2"/>
            <w:tcBorders>
              <w:left w:val="single" w:color="auto" w:sz="4" w:space="0"/>
              <w:right w:val="single" w:color="auto" w:sz="4" w:space="0"/>
            </w:tcBorders>
            <w:vAlign w:val="center"/>
          </w:tcPr>
          <w:p w14:paraId="30171B59">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092B2820">
            <w:pPr>
              <w:spacing w:line="400" w:lineRule="exact"/>
              <w:jc w:val="center"/>
              <w:rPr>
                <w:rFonts w:ascii="宋体" w:hAnsi="宋体" w:cs="Arial"/>
                <w:color w:val="auto"/>
              </w:rPr>
            </w:pPr>
          </w:p>
        </w:tc>
      </w:tr>
      <w:tr w14:paraId="72218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61FEBBD6">
            <w:pPr>
              <w:spacing w:line="400" w:lineRule="exact"/>
              <w:jc w:val="center"/>
              <w:rPr>
                <w:rFonts w:ascii="宋体" w:hAnsi="宋体" w:cs="Arial"/>
                <w:color w:val="auto"/>
              </w:rPr>
            </w:pPr>
          </w:p>
        </w:tc>
        <w:tc>
          <w:tcPr>
            <w:tcW w:w="1439" w:type="dxa"/>
            <w:tcBorders>
              <w:bottom w:val="single" w:color="auto" w:sz="4" w:space="0"/>
            </w:tcBorders>
            <w:vAlign w:val="center"/>
          </w:tcPr>
          <w:p w14:paraId="4E025BB9">
            <w:pPr>
              <w:spacing w:line="400" w:lineRule="exact"/>
              <w:jc w:val="center"/>
              <w:rPr>
                <w:rFonts w:ascii="宋体" w:hAnsi="宋体" w:cs="Arial"/>
                <w:color w:val="auto"/>
              </w:rPr>
            </w:pPr>
          </w:p>
        </w:tc>
        <w:tc>
          <w:tcPr>
            <w:tcW w:w="1319" w:type="dxa"/>
            <w:tcBorders>
              <w:bottom w:val="single" w:color="auto" w:sz="4" w:space="0"/>
            </w:tcBorders>
            <w:vAlign w:val="center"/>
          </w:tcPr>
          <w:p w14:paraId="03E97D57">
            <w:pPr>
              <w:spacing w:line="400" w:lineRule="exact"/>
              <w:jc w:val="center"/>
              <w:rPr>
                <w:rFonts w:ascii="宋体" w:hAnsi="宋体" w:cs="Arial"/>
                <w:color w:val="auto"/>
              </w:rPr>
            </w:pPr>
          </w:p>
        </w:tc>
        <w:tc>
          <w:tcPr>
            <w:tcW w:w="1160" w:type="dxa"/>
            <w:tcBorders>
              <w:bottom w:val="single" w:color="auto" w:sz="4" w:space="0"/>
            </w:tcBorders>
            <w:vAlign w:val="center"/>
          </w:tcPr>
          <w:p w14:paraId="3B9CAF22">
            <w:pPr>
              <w:spacing w:line="400" w:lineRule="exact"/>
              <w:jc w:val="center"/>
              <w:rPr>
                <w:rFonts w:ascii="宋体" w:hAnsi="宋体" w:cs="Arial"/>
                <w:color w:val="auto"/>
              </w:rPr>
            </w:pPr>
          </w:p>
        </w:tc>
        <w:tc>
          <w:tcPr>
            <w:tcW w:w="1421" w:type="dxa"/>
            <w:gridSpan w:val="2"/>
            <w:tcBorders>
              <w:bottom w:val="single" w:color="auto" w:sz="4" w:space="0"/>
              <w:right w:val="single" w:color="auto" w:sz="4" w:space="0"/>
            </w:tcBorders>
            <w:vAlign w:val="center"/>
          </w:tcPr>
          <w:p w14:paraId="3864A42D">
            <w:pPr>
              <w:spacing w:line="400" w:lineRule="exact"/>
              <w:jc w:val="center"/>
              <w:rPr>
                <w:rFonts w:ascii="宋体" w:hAnsi="宋体" w:cs="Arial"/>
                <w:color w:val="auto"/>
              </w:rPr>
            </w:pPr>
          </w:p>
        </w:tc>
        <w:tc>
          <w:tcPr>
            <w:tcW w:w="1614" w:type="dxa"/>
            <w:gridSpan w:val="2"/>
            <w:tcBorders>
              <w:left w:val="single" w:color="auto" w:sz="4" w:space="0"/>
              <w:bottom w:val="single" w:color="auto" w:sz="4" w:space="0"/>
              <w:right w:val="single" w:color="auto" w:sz="4" w:space="0"/>
            </w:tcBorders>
            <w:vAlign w:val="center"/>
          </w:tcPr>
          <w:p w14:paraId="77397C67">
            <w:pPr>
              <w:spacing w:line="400" w:lineRule="exact"/>
              <w:jc w:val="center"/>
              <w:rPr>
                <w:rFonts w:ascii="宋体" w:hAnsi="宋体" w:cs="Arial"/>
                <w:color w:val="auto"/>
              </w:rPr>
            </w:pPr>
          </w:p>
        </w:tc>
        <w:tc>
          <w:tcPr>
            <w:tcW w:w="1387" w:type="dxa"/>
            <w:gridSpan w:val="2"/>
            <w:tcBorders>
              <w:left w:val="single" w:color="auto" w:sz="4" w:space="0"/>
              <w:bottom w:val="single" w:color="auto" w:sz="4" w:space="0"/>
            </w:tcBorders>
            <w:vAlign w:val="center"/>
          </w:tcPr>
          <w:p w14:paraId="56B0659F">
            <w:pPr>
              <w:spacing w:line="400" w:lineRule="exact"/>
              <w:jc w:val="center"/>
              <w:rPr>
                <w:rFonts w:ascii="宋体" w:hAnsi="宋体" w:cs="Arial"/>
                <w:color w:val="auto"/>
              </w:rPr>
            </w:pPr>
          </w:p>
        </w:tc>
      </w:tr>
      <w:tr w14:paraId="5A82F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8A80C88">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29891FA6">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2A71FFCB">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3A7D5DD1">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3A2C5C2F">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892142E">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53863F5A">
            <w:pPr>
              <w:spacing w:line="400" w:lineRule="exact"/>
              <w:jc w:val="center"/>
              <w:rPr>
                <w:rFonts w:ascii="宋体" w:hAnsi="宋体" w:cs="Arial"/>
                <w:color w:val="auto"/>
              </w:rPr>
            </w:pPr>
          </w:p>
        </w:tc>
      </w:tr>
      <w:tr w14:paraId="6BC707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1423B0DF">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63020AF0">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6A17A830">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433C4B1D">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0DA74288">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79AD676">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17E6E655">
            <w:pPr>
              <w:spacing w:line="400" w:lineRule="exact"/>
              <w:jc w:val="center"/>
              <w:rPr>
                <w:rFonts w:ascii="宋体" w:hAnsi="宋体" w:cs="Arial"/>
                <w:color w:val="auto"/>
              </w:rPr>
            </w:pPr>
          </w:p>
        </w:tc>
      </w:tr>
      <w:tr w14:paraId="78F86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6A5E4448">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6BDBE6FC">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6AE3E0B1">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027F2D50">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31EDFF9C">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6B36A79">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395B30EC">
            <w:pPr>
              <w:spacing w:line="400" w:lineRule="exact"/>
              <w:jc w:val="center"/>
              <w:rPr>
                <w:rFonts w:ascii="宋体" w:hAnsi="宋体" w:cs="Arial"/>
                <w:color w:val="auto"/>
              </w:rPr>
            </w:pPr>
          </w:p>
        </w:tc>
      </w:tr>
      <w:tr w14:paraId="3A643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43D04749">
            <w:pPr>
              <w:spacing w:line="400" w:lineRule="exact"/>
              <w:jc w:val="center"/>
              <w:rPr>
                <w:rFonts w:ascii="宋体" w:hAnsi="宋体" w:cs="Arial"/>
                <w:color w:val="auto"/>
              </w:rPr>
            </w:pPr>
          </w:p>
        </w:tc>
        <w:tc>
          <w:tcPr>
            <w:tcW w:w="1439" w:type="dxa"/>
            <w:tcBorders>
              <w:top w:val="single" w:color="auto" w:sz="4" w:space="0"/>
            </w:tcBorders>
            <w:vAlign w:val="center"/>
          </w:tcPr>
          <w:p w14:paraId="10E8377E">
            <w:pPr>
              <w:spacing w:line="400" w:lineRule="exact"/>
              <w:jc w:val="center"/>
              <w:rPr>
                <w:rFonts w:ascii="宋体" w:hAnsi="宋体" w:cs="Arial"/>
                <w:color w:val="auto"/>
              </w:rPr>
            </w:pPr>
          </w:p>
        </w:tc>
        <w:tc>
          <w:tcPr>
            <w:tcW w:w="1319" w:type="dxa"/>
            <w:tcBorders>
              <w:top w:val="single" w:color="auto" w:sz="4" w:space="0"/>
            </w:tcBorders>
            <w:vAlign w:val="center"/>
          </w:tcPr>
          <w:p w14:paraId="11525F30">
            <w:pPr>
              <w:spacing w:line="400" w:lineRule="exact"/>
              <w:jc w:val="center"/>
              <w:rPr>
                <w:rFonts w:ascii="宋体" w:hAnsi="宋体" w:cs="Arial"/>
                <w:color w:val="auto"/>
              </w:rPr>
            </w:pPr>
          </w:p>
        </w:tc>
        <w:tc>
          <w:tcPr>
            <w:tcW w:w="1160" w:type="dxa"/>
            <w:tcBorders>
              <w:top w:val="single" w:color="auto" w:sz="4" w:space="0"/>
            </w:tcBorders>
            <w:vAlign w:val="center"/>
          </w:tcPr>
          <w:p w14:paraId="2408EBAB">
            <w:pPr>
              <w:spacing w:line="400" w:lineRule="exact"/>
              <w:jc w:val="center"/>
              <w:rPr>
                <w:rFonts w:ascii="宋体" w:hAnsi="宋体" w:cs="Arial"/>
                <w:color w:val="auto"/>
              </w:rPr>
            </w:pPr>
          </w:p>
        </w:tc>
        <w:tc>
          <w:tcPr>
            <w:tcW w:w="1421" w:type="dxa"/>
            <w:gridSpan w:val="2"/>
            <w:tcBorders>
              <w:top w:val="single" w:color="auto" w:sz="4" w:space="0"/>
              <w:right w:val="single" w:color="auto" w:sz="4" w:space="0"/>
            </w:tcBorders>
            <w:vAlign w:val="center"/>
          </w:tcPr>
          <w:p w14:paraId="344CE711">
            <w:pPr>
              <w:spacing w:line="400" w:lineRule="exact"/>
              <w:jc w:val="center"/>
              <w:rPr>
                <w:rFonts w:ascii="宋体" w:hAnsi="宋体" w:cs="Arial"/>
                <w:color w:val="auto"/>
              </w:rPr>
            </w:pPr>
          </w:p>
        </w:tc>
        <w:tc>
          <w:tcPr>
            <w:tcW w:w="1614" w:type="dxa"/>
            <w:gridSpan w:val="2"/>
            <w:tcBorders>
              <w:top w:val="single" w:color="auto" w:sz="4" w:space="0"/>
              <w:left w:val="single" w:color="auto" w:sz="4" w:space="0"/>
              <w:right w:val="single" w:color="auto" w:sz="4" w:space="0"/>
            </w:tcBorders>
            <w:vAlign w:val="center"/>
          </w:tcPr>
          <w:p w14:paraId="4DB06C6F">
            <w:pPr>
              <w:spacing w:line="400" w:lineRule="exact"/>
              <w:jc w:val="center"/>
              <w:rPr>
                <w:rFonts w:ascii="宋体" w:hAnsi="宋体" w:cs="Arial"/>
                <w:color w:val="auto"/>
              </w:rPr>
            </w:pPr>
          </w:p>
        </w:tc>
        <w:tc>
          <w:tcPr>
            <w:tcW w:w="1387" w:type="dxa"/>
            <w:gridSpan w:val="2"/>
            <w:tcBorders>
              <w:top w:val="single" w:color="auto" w:sz="4" w:space="0"/>
              <w:left w:val="single" w:color="auto" w:sz="4" w:space="0"/>
            </w:tcBorders>
            <w:vAlign w:val="center"/>
          </w:tcPr>
          <w:p w14:paraId="0988A699">
            <w:pPr>
              <w:spacing w:line="400" w:lineRule="exact"/>
              <w:jc w:val="center"/>
              <w:rPr>
                <w:rFonts w:ascii="宋体" w:hAnsi="宋体" w:cs="Arial"/>
                <w:color w:val="auto"/>
              </w:rPr>
            </w:pPr>
          </w:p>
        </w:tc>
      </w:tr>
    </w:tbl>
    <w:p w14:paraId="44DE8114">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color w:val="auto"/>
          <w:sz w:val="24"/>
        </w:rPr>
      </w:pPr>
      <w:r>
        <w:rPr>
          <w:rFonts w:hint="eastAsia" w:ascii="宋体" w:hAnsi="宋体" w:cs="Arial"/>
          <w:color w:val="auto"/>
          <w:sz w:val="24"/>
        </w:rPr>
        <w:t>注：供应商（仅限于供应商自己的）以上业绩需提供有关书面证明材料。“合同金额”需提供合同复印件；“是否通过验收”需提供合同验收合格或用户单位书面证明材料。</w:t>
      </w:r>
    </w:p>
    <w:p w14:paraId="450E9069">
      <w:pPr>
        <w:spacing w:line="400" w:lineRule="exact"/>
        <w:ind w:left="360"/>
        <w:jc w:val="center"/>
        <w:rPr>
          <w:rFonts w:ascii="宋体" w:hAnsi="宋体" w:cs="Arial"/>
          <w:color w:val="auto"/>
          <w:sz w:val="24"/>
        </w:rPr>
      </w:pPr>
    </w:p>
    <w:p w14:paraId="51F17824">
      <w:pPr>
        <w:jc w:val="left"/>
        <w:rPr>
          <w:rFonts w:ascii="宋体" w:hAnsi="宋体" w:cs="Arial"/>
          <w:color w:val="auto"/>
        </w:rPr>
      </w:pPr>
    </w:p>
    <w:p w14:paraId="5CD6B1F4">
      <w:pPr>
        <w:ind w:firstLine="480" w:firstLineChars="200"/>
        <w:jc w:val="left"/>
        <w:rPr>
          <w:rFonts w:ascii="宋体" w:hAnsi="宋体"/>
          <w:color w:val="auto"/>
          <w:sz w:val="24"/>
        </w:rPr>
      </w:pPr>
      <w:r>
        <w:rPr>
          <w:rFonts w:hint="eastAsia" w:ascii="宋体" w:hAnsi="宋体"/>
          <w:color w:val="auto"/>
          <w:sz w:val="24"/>
        </w:rPr>
        <w:t>供应商名称：XXXX（盖单位公章）</w:t>
      </w:r>
    </w:p>
    <w:p w14:paraId="0DA7B454">
      <w:pPr>
        <w:ind w:firstLine="480" w:firstLineChars="200"/>
        <w:jc w:val="left"/>
        <w:rPr>
          <w:rFonts w:ascii="宋体" w:hAnsi="宋体"/>
          <w:color w:val="auto"/>
          <w:sz w:val="24"/>
        </w:rPr>
      </w:pPr>
      <w:r>
        <w:rPr>
          <w:rFonts w:hint="eastAsia" w:ascii="宋体" w:hAnsi="宋体"/>
          <w:color w:val="auto"/>
          <w:sz w:val="24"/>
        </w:rPr>
        <w:t>法定代表人或授权代表（签字）：XXXX</w:t>
      </w:r>
    </w:p>
    <w:p w14:paraId="72C414ED">
      <w:pPr>
        <w:ind w:firstLine="480" w:firstLineChars="200"/>
        <w:jc w:val="left"/>
        <w:rPr>
          <w:rFonts w:ascii="宋体" w:hAnsi="宋体"/>
          <w:color w:val="auto"/>
          <w:sz w:val="24"/>
        </w:rPr>
      </w:pPr>
      <w:r>
        <w:rPr>
          <w:rFonts w:hint="eastAsia" w:ascii="宋体" w:hAnsi="宋体"/>
          <w:color w:val="auto"/>
          <w:sz w:val="24"/>
        </w:rPr>
        <w:t>日期: XXXX</w:t>
      </w:r>
    </w:p>
    <w:p w14:paraId="0B1BF3D0">
      <w:pPr>
        <w:jc w:val="left"/>
        <w:rPr>
          <w:rFonts w:ascii="宋体" w:hAnsi="宋体"/>
          <w:color w:val="auto"/>
          <w:sz w:val="24"/>
        </w:rPr>
      </w:pPr>
    </w:p>
    <w:p w14:paraId="386D9D6C">
      <w:pPr>
        <w:pStyle w:val="3"/>
        <w:keepNext w:val="0"/>
        <w:keepLines w:val="0"/>
        <w:spacing w:line="400" w:lineRule="exact"/>
        <w:jc w:val="center"/>
        <w:rPr>
          <w:rFonts w:ascii="黑体" w:hAnsi="宋体"/>
          <w:color w:val="auto"/>
          <w:szCs w:val="28"/>
        </w:rPr>
      </w:pPr>
      <w:bookmarkStart w:id="95" w:name="_Toc307564880"/>
      <w:bookmarkStart w:id="96" w:name="_Toc436820890"/>
      <w:bookmarkStart w:id="97" w:name="_Toc436410129"/>
      <w:bookmarkStart w:id="98" w:name="_Toc436404120"/>
      <w:bookmarkStart w:id="99" w:name="_Toc436385992"/>
    </w:p>
    <w:p w14:paraId="160B6018">
      <w:pPr>
        <w:rPr>
          <w:color w:val="auto"/>
        </w:rPr>
      </w:pPr>
    </w:p>
    <w:bookmarkEnd w:id="95"/>
    <w:bookmarkEnd w:id="96"/>
    <w:bookmarkEnd w:id="97"/>
    <w:bookmarkEnd w:id="98"/>
    <w:bookmarkEnd w:id="99"/>
    <w:p w14:paraId="317CE4B1">
      <w:pPr>
        <w:rPr>
          <w:color w:val="auto"/>
        </w:rPr>
      </w:pPr>
    </w:p>
    <w:p w14:paraId="71B4F645">
      <w:pPr>
        <w:jc w:val="center"/>
        <w:rPr>
          <w:b/>
          <w:color w:val="auto"/>
          <w:sz w:val="32"/>
          <w:szCs w:val="32"/>
        </w:rPr>
      </w:pPr>
      <w:r>
        <w:rPr>
          <w:rFonts w:hint="eastAsia"/>
          <w:b/>
          <w:color w:val="auto"/>
          <w:sz w:val="32"/>
          <w:szCs w:val="32"/>
        </w:rPr>
        <w:br w:type="page"/>
      </w:r>
      <w:r>
        <w:rPr>
          <w:rFonts w:hint="eastAsia"/>
          <w:b/>
          <w:color w:val="auto"/>
          <w:sz w:val="32"/>
          <w:szCs w:val="32"/>
        </w:rPr>
        <w:t>十、供应商本项目管理、技术、服务人员情况表</w:t>
      </w:r>
    </w:p>
    <w:p w14:paraId="6D9B9D3E">
      <w:pPr>
        <w:rPr>
          <w:color w:val="auto"/>
          <w:sz w:val="32"/>
          <w:szCs w:val="32"/>
        </w:rPr>
      </w:pPr>
    </w:p>
    <w:p w14:paraId="28DD41FC">
      <w:pPr>
        <w:rPr>
          <w:color w:val="auto"/>
          <w:sz w:val="24"/>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133C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3A5B700">
            <w:pPr>
              <w:jc w:val="center"/>
              <w:rPr>
                <w:color w:val="auto"/>
                <w:sz w:val="24"/>
              </w:rPr>
            </w:pPr>
            <w:r>
              <w:rPr>
                <w:rFonts w:hint="eastAsia"/>
                <w:color w:val="auto"/>
                <w:sz w:val="24"/>
              </w:rPr>
              <w:t>类别</w:t>
            </w:r>
          </w:p>
        </w:tc>
        <w:tc>
          <w:tcPr>
            <w:tcW w:w="947" w:type="dxa"/>
            <w:vMerge w:val="restart"/>
            <w:vAlign w:val="center"/>
          </w:tcPr>
          <w:p w14:paraId="555CBB6F">
            <w:pPr>
              <w:jc w:val="center"/>
              <w:rPr>
                <w:color w:val="auto"/>
                <w:sz w:val="24"/>
              </w:rPr>
            </w:pPr>
            <w:r>
              <w:rPr>
                <w:rFonts w:hint="eastAsia"/>
                <w:color w:val="auto"/>
                <w:sz w:val="24"/>
              </w:rPr>
              <w:t>职务</w:t>
            </w:r>
          </w:p>
        </w:tc>
        <w:tc>
          <w:tcPr>
            <w:tcW w:w="947" w:type="dxa"/>
            <w:vMerge w:val="restart"/>
            <w:vAlign w:val="center"/>
          </w:tcPr>
          <w:p w14:paraId="49F2801D">
            <w:pPr>
              <w:jc w:val="center"/>
              <w:rPr>
                <w:color w:val="auto"/>
                <w:sz w:val="24"/>
              </w:rPr>
            </w:pPr>
            <w:r>
              <w:rPr>
                <w:rFonts w:hint="eastAsia"/>
                <w:color w:val="auto"/>
                <w:sz w:val="24"/>
              </w:rPr>
              <w:t>姓名</w:t>
            </w:r>
          </w:p>
        </w:tc>
        <w:tc>
          <w:tcPr>
            <w:tcW w:w="947" w:type="dxa"/>
            <w:vMerge w:val="restart"/>
            <w:vAlign w:val="center"/>
          </w:tcPr>
          <w:p w14:paraId="2A3D5BB4">
            <w:pPr>
              <w:jc w:val="center"/>
              <w:rPr>
                <w:color w:val="auto"/>
                <w:sz w:val="24"/>
              </w:rPr>
            </w:pPr>
            <w:r>
              <w:rPr>
                <w:rFonts w:hint="eastAsia"/>
                <w:color w:val="auto"/>
                <w:sz w:val="24"/>
              </w:rPr>
              <w:t>职称</w:t>
            </w:r>
          </w:p>
        </w:tc>
        <w:tc>
          <w:tcPr>
            <w:tcW w:w="947" w:type="dxa"/>
            <w:vMerge w:val="restart"/>
            <w:vAlign w:val="center"/>
          </w:tcPr>
          <w:p w14:paraId="7442B060">
            <w:pPr>
              <w:jc w:val="center"/>
              <w:rPr>
                <w:color w:val="auto"/>
                <w:sz w:val="24"/>
              </w:rPr>
            </w:pPr>
            <w:r>
              <w:rPr>
                <w:rFonts w:hint="eastAsia"/>
                <w:color w:val="auto"/>
                <w:sz w:val="24"/>
              </w:rPr>
              <w:t>常住地</w:t>
            </w:r>
          </w:p>
        </w:tc>
        <w:tc>
          <w:tcPr>
            <w:tcW w:w="3788" w:type="dxa"/>
            <w:gridSpan w:val="4"/>
            <w:vAlign w:val="center"/>
          </w:tcPr>
          <w:p w14:paraId="66D6C469">
            <w:pPr>
              <w:jc w:val="center"/>
              <w:rPr>
                <w:color w:val="auto"/>
                <w:sz w:val="24"/>
              </w:rPr>
            </w:pPr>
            <w:r>
              <w:rPr>
                <w:rFonts w:hint="eastAsia"/>
                <w:color w:val="auto"/>
                <w:sz w:val="24"/>
              </w:rPr>
              <w:t>资格证明（附复印件）</w:t>
            </w:r>
          </w:p>
        </w:tc>
      </w:tr>
      <w:tr w14:paraId="2CC0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660FE99">
            <w:pPr>
              <w:jc w:val="center"/>
              <w:rPr>
                <w:color w:val="auto"/>
                <w:sz w:val="24"/>
              </w:rPr>
            </w:pPr>
          </w:p>
        </w:tc>
        <w:tc>
          <w:tcPr>
            <w:tcW w:w="947" w:type="dxa"/>
            <w:vMerge w:val="continue"/>
            <w:vAlign w:val="center"/>
          </w:tcPr>
          <w:p w14:paraId="2A0C0397">
            <w:pPr>
              <w:jc w:val="center"/>
              <w:rPr>
                <w:color w:val="auto"/>
                <w:sz w:val="24"/>
              </w:rPr>
            </w:pPr>
          </w:p>
        </w:tc>
        <w:tc>
          <w:tcPr>
            <w:tcW w:w="947" w:type="dxa"/>
            <w:vMerge w:val="continue"/>
            <w:vAlign w:val="center"/>
          </w:tcPr>
          <w:p w14:paraId="58127B99">
            <w:pPr>
              <w:jc w:val="center"/>
              <w:rPr>
                <w:color w:val="auto"/>
                <w:sz w:val="24"/>
              </w:rPr>
            </w:pPr>
          </w:p>
        </w:tc>
        <w:tc>
          <w:tcPr>
            <w:tcW w:w="947" w:type="dxa"/>
            <w:vMerge w:val="continue"/>
            <w:vAlign w:val="center"/>
          </w:tcPr>
          <w:p w14:paraId="7F669CBF">
            <w:pPr>
              <w:jc w:val="center"/>
              <w:rPr>
                <w:color w:val="auto"/>
                <w:sz w:val="24"/>
              </w:rPr>
            </w:pPr>
          </w:p>
        </w:tc>
        <w:tc>
          <w:tcPr>
            <w:tcW w:w="947" w:type="dxa"/>
            <w:vMerge w:val="continue"/>
            <w:vAlign w:val="center"/>
          </w:tcPr>
          <w:p w14:paraId="39385C46">
            <w:pPr>
              <w:jc w:val="center"/>
              <w:rPr>
                <w:color w:val="auto"/>
                <w:sz w:val="24"/>
              </w:rPr>
            </w:pPr>
          </w:p>
        </w:tc>
        <w:tc>
          <w:tcPr>
            <w:tcW w:w="947" w:type="dxa"/>
            <w:vAlign w:val="center"/>
          </w:tcPr>
          <w:p w14:paraId="083638E4">
            <w:pPr>
              <w:jc w:val="center"/>
              <w:rPr>
                <w:color w:val="auto"/>
                <w:sz w:val="24"/>
              </w:rPr>
            </w:pPr>
            <w:r>
              <w:rPr>
                <w:rFonts w:hint="eastAsia"/>
                <w:color w:val="auto"/>
                <w:sz w:val="24"/>
              </w:rPr>
              <w:t>证书</w:t>
            </w:r>
          </w:p>
          <w:p w14:paraId="253585CB">
            <w:pPr>
              <w:jc w:val="center"/>
              <w:rPr>
                <w:color w:val="auto"/>
                <w:sz w:val="24"/>
              </w:rPr>
            </w:pPr>
            <w:r>
              <w:rPr>
                <w:rFonts w:hint="eastAsia"/>
                <w:color w:val="auto"/>
                <w:sz w:val="24"/>
              </w:rPr>
              <w:t>名称</w:t>
            </w:r>
          </w:p>
        </w:tc>
        <w:tc>
          <w:tcPr>
            <w:tcW w:w="947" w:type="dxa"/>
            <w:vAlign w:val="center"/>
          </w:tcPr>
          <w:p w14:paraId="13022021">
            <w:pPr>
              <w:jc w:val="center"/>
              <w:rPr>
                <w:color w:val="auto"/>
                <w:sz w:val="24"/>
              </w:rPr>
            </w:pPr>
            <w:r>
              <w:rPr>
                <w:rFonts w:hint="eastAsia"/>
                <w:color w:val="auto"/>
                <w:sz w:val="24"/>
              </w:rPr>
              <w:t>级别</w:t>
            </w:r>
          </w:p>
        </w:tc>
        <w:tc>
          <w:tcPr>
            <w:tcW w:w="947" w:type="dxa"/>
            <w:vAlign w:val="center"/>
          </w:tcPr>
          <w:p w14:paraId="3B46D25C">
            <w:pPr>
              <w:jc w:val="center"/>
              <w:rPr>
                <w:color w:val="auto"/>
                <w:sz w:val="24"/>
              </w:rPr>
            </w:pPr>
            <w:r>
              <w:rPr>
                <w:rFonts w:hint="eastAsia"/>
                <w:color w:val="auto"/>
                <w:sz w:val="24"/>
              </w:rPr>
              <w:t>证号</w:t>
            </w:r>
          </w:p>
        </w:tc>
        <w:tc>
          <w:tcPr>
            <w:tcW w:w="947" w:type="dxa"/>
            <w:vAlign w:val="center"/>
          </w:tcPr>
          <w:p w14:paraId="4208A0BF">
            <w:pPr>
              <w:jc w:val="center"/>
              <w:rPr>
                <w:color w:val="auto"/>
                <w:sz w:val="24"/>
              </w:rPr>
            </w:pPr>
            <w:r>
              <w:rPr>
                <w:rFonts w:hint="eastAsia"/>
                <w:color w:val="auto"/>
                <w:sz w:val="24"/>
              </w:rPr>
              <w:t>专业</w:t>
            </w:r>
          </w:p>
        </w:tc>
      </w:tr>
      <w:tr w14:paraId="6FC9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44908EB">
            <w:pPr>
              <w:jc w:val="center"/>
              <w:rPr>
                <w:color w:val="auto"/>
                <w:sz w:val="24"/>
              </w:rPr>
            </w:pPr>
            <w:r>
              <w:rPr>
                <w:rFonts w:hint="eastAsia"/>
                <w:color w:val="auto"/>
                <w:sz w:val="24"/>
              </w:rPr>
              <w:t>管理</w:t>
            </w:r>
          </w:p>
          <w:p w14:paraId="2885A311">
            <w:pPr>
              <w:jc w:val="center"/>
              <w:rPr>
                <w:color w:val="auto"/>
                <w:sz w:val="24"/>
              </w:rPr>
            </w:pPr>
            <w:r>
              <w:rPr>
                <w:rFonts w:hint="eastAsia"/>
                <w:color w:val="auto"/>
                <w:sz w:val="24"/>
              </w:rPr>
              <w:t>人员</w:t>
            </w:r>
          </w:p>
        </w:tc>
        <w:tc>
          <w:tcPr>
            <w:tcW w:w="947" w:type="dxa"/>
          </w:tcPr>
          <w:p w14:paraId="24C857F5">
            <w:pPr>
              <w:rPr>
                <w:color w:val="auto"/>
                <w:sz w:val="24"/>
              </w:rPr>
            </w:pPr>
          </w:p>
        </w:tc>
        <w:tc>
          <w:tcPr>
            <w:tcW w:w="947" w:type="dxa"/>
          </w:tcPr>
          <w:p w14:paraId="5F444CA9">
            <w:pPr>
              <w:rPr>
                <w:color w:val="auto"/>
                <w:sz w:val="24"/>
              </w:rPr>
            </w:pPr>
          </w:p>
        </w:tc>
        <w:tc>
          <w:tcPr>
            <w:tcW w:w="947" w:type="dxa"/>
          </w:tcPr>
          <w:p w14:paraId="0FE310C7">
            <w:pPr>
              <w:rPr>
                <w:color w:val="auto"/>
                <w:sz w:val="24"/>
              </w:rPr>
            </w:pPr>
          </w:p>
        </w:tc>
        <w:tc>
          <w:tcPr>
            <w:tcW w:w="947" w:type="dxa"/>
          </w:tcPr>
          <w:p w14:paraId="559E0C23">
            <w:pPr>
              <w:rPr>
                <w:color w:val="auto"/>
                <w:sz w:val="24"/>
              </w:rPr>
            </w:pPr>
          </w:p>
        </w:tc>
        <w:tc>
          <w:tcPr>
            <w:tcW w:w="947" w:type="dxa"/>
          </w:tcPr>
          <w:p w14:paraId="31F32BA2">
            <w:pPr>
              <w:rPr>
                <w:color w:val="auto"/>
                <w:sz w:val="24"/>
              </w:rPr>
            </w:pPr>
          </w:p>
        </w:tc>
        <w:tc>
          <w:tcPr>
            <w:tcW w:w="947" w:type="dxa"/>
          </w:tcPr>
          <w:p w14:paraId="197197AB">
            <w:pPr>
              <w:rPr>
                <w:color w:val="auto"/>
                <w:sz w:val="24"/>
              </w:rPr>
            </w:pPr>
          </w:p>
        </w:tc>
        <w:tc>
          <w:tcPr>
            <w:tcW w:w="947" w:type="dxa"/>
          </w:tcPr>
          <w:p w14:paraId="4F83C12D">
            <w:pPr>
              <w:rPr>
                <w:color w:val="auto"/>
                <w:sz w:val="24"/>
              </w:rPr>
            </w:pPr>
          </w:p>
        </w:tc>
        <w:tc>
          <w:tcPr>
            <w:tcW w:w="947" w:type="dxa"/>
          </w:tcPr>
          <w:p w14:paraId="7D8BF5F1">
            <w:pPr>
              <w:rPr>
                <w:color w:val="auto"/>
                <w:sz w:val="24"/>
              </w:rPr>
            </w:pPr>
          </w:p>
        </w:tc>
      </w:tr>
      <w:tr w14:paraId="22B8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495722D2">
            <w:pPr>
              <w:jc w:val="center"/>
              <w:rPr>
                <w:color w:val="auto"/>
                <w:sz w:val="24"/>
              </w:rPr>
            </w:pPr>
          </w:p>
        </w:tc>
        <w:tc>
          <w:tcPr>
            <w:tcW w:w="947" w:type="dxa"/>
          </w:tcPr>
          <w:p w14:paraId="3D8E7AED">
            <w:pPr>
              <w:rPr>
                <w:color w:val="auto"/>
                <w:sz w:val="24"/>
              </w:rPr>
            </w:pPr>
          </w:p>
        </w:tc>
        <w:tc>
          <w:tcPr>
            <w:tcW w:w="947" w:type="dxa"/>
          </w:tcPr>
          <w:p w14:paraId="4ACDD3DE">
            <w:pPr>
              <w:rPr>
                <w:color w:val="auto"/>
                <w:sz w:val="24"/>
              </w:rPr>
            </w:pPr>
          </w:p>
        </w:tc>
        <w:tc>
          <w:tcPr>
            <w:tcW w:w="947" w:type="dxa"/>
          </w:tcPr>
          <w:p w14:paraId="23353A6A">
            <w:pPr>
              <w:rPr>
                <w:color w:val="auto"/>
                <w:sz w:val="24"/>
              </w:rPr>
            </w:pPr>
          </w:p>
        </w:tc>
        <w:tc>
          <w:tcPr>
            <w:tcW w:w="947" w:type="dxa"/>
          </w:tcPr>
          <w:p w14:paraId="431CDCF5">
            <w:pPr>
              <w:rPr>
                <w:color w:val="auto"/>
                <w:sz w:val="24"/>
              </w:rPr>
            </w:pPr>
          </w:p>
        </w:tc>
        <w:tc>
          <w:tcPr>
            <w:tcW w:w="947" w:type="dxa"/>
          </w:tcPr>
          <w:p w14:paraId="0210A9AD">
            <w:pPr>
              <w:rPr>
                <w:color w:val="auto"/>
                <w:sz w:val="24"/>
              </w:rPr>
            </w:pPr>
          </w:p>
        </w:tc>
        <w:tc>
          <w:tcPr>
            <w:tcW w:w="947" w:type="dxa"/>
          </w:tcPr>
          <w:p w14:paraId="002F03E4">
            <w:pPr>
              <w:rPr>
                <w:color w:val="auto"/>
                <w:sz w:val="24"/>
              </w:rPr>
            </w:pPr>
          </w:p>
        </w:tc>
        <w:tc>
          <w:tcPr>
            <w:tcW w:w="947" w:type="dxa"/>
          </w:tcPr>
          <w:p w14:paraId="07940A38">
            <w:pPr>
              <w:rPr>
                <w:color w:val="auto"/>
                <w:sz w:val="24"/>
              </w:rPr>
            </w:pPr>
          </w:p>
        </w:tc>
        <w:tc>
          <w:tcPr>
            <w:tcW w:w="947" w:type="dxa"/>
          </w:tcPr>
          <w:p w14:paraId="3BE99F1F">
            <w:pPr>
              <w:rPr>
                <w:color w:val="auto"/>
                <w:sz w:val="24"/>
              </w:rPr>
            </w:pPr>
          </w:p>
        </w:tc>
      </w:tr>
      <w:tr w14:paraId="2ABB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7B8CE7F">
            <w:pPr>
              <w:jc w:val="center"/>
              <w:rPr>
                <w:color w:val="auto"/>
                <w:sz w:val="24"/>
              </w:rPr>
            </w:pPr>
          </w:p>
        </w:tc>
        <w:tc>
          <w:tcPr>
            <w:tcW w:w="947" w:type="dxa"/>
          </w:tcPr>
          <w:p w14:paraId="23F216B5">
            <w:pPr>
              <w:rPr>
                <w:color w:val="auto"/>
                <w:sz w:val="24"/>
              </w:rPr>
            </w:pPr>
          </w:p>
        </w:tc>
        <w:tc>
          <w:tcPr>
            <w:tcW w:w="947" w:type="dxa"/>
          </w:tcPr>
          <w:p w14:paraId="783C1A86">
            <w:pPr>
              <w:rPr>
                <w:color w:val="auto"/>
                <w:sz w:val="24"/>
              </w:rPr>
            </w:pPr>
          </w:p>
        </w:tc>
        <w:tc>
          <w:tcPr>
            <w:tcW w:w="947" w:type="dxa"/>
          </w:tcPr>
          <w:p w14:paraId="204A9DB4">
            <w:pPr>
              <w:rPr>
                <w:color w:val="auto"/>
                <w:sz w:val="24"/>
              </w:rPr>
            </w:pPr>
          </w:p>
        </w:tc>
        <w:tc>
          <w:tcPr>
            <w:tcW w:w="947" w:type="dxa"/>
          </w:tcPr>
          <w:p w14:paraId="016A2085">
            <w:pPr>
              <w:rPr>
                <w:color w:val="auto"/>
                <w:sz w:val="24"/>
              </w:rPr>
            </w:pPr>
          </w:p>
        </w:tc>
        <w:tc>
          <w:tcPr>
            <w:tcW w:w="947" w:type="dxa"/>
          </w:tcPr>
          <w:p w14:paraId="5EDE84D8">
            <w:pPr>
              <w:rPr>
                <w:color w:val="auto"/>
                <w:sz w:val="24"/>
              </w:rPr>
            </w:pPr>
          </w:p>
        </w:tc>
        <w:tc>
          <w:tcPr>
            <w:tcW w:w="947" w:type="dxa"/>
          </w:tcPr>
          <w:p w14:paraId="6387F3E9">
            <w:pPr>
              <w:rPr>
                <w:color w:val="auto"/>
                <w:sz w:val="24"/>
              </w:rPr>
            </w:pPr>
          </w:p>
        </w:tc>
        <w:tc>
          <w:tcPr>
            <w:tcW w:w="947" w:type="dxa"/>
          </w:tcPr>
          <w:p w14:paraId="3C5CDF9D">
            <w:pPr>
              <w:rPr>
                <w:color w:val="auto"/>
                <w:sz w:val="24"/>
              </w:rPr>
            </w:pPr>
          </w:p>
        </w:tc>
        <w:tc>
          <w:tcPr>
            <w:tcW w:w="947" w:type="dxa"/>
          </w:tcPr>
          <w:p w14:paraId="1FCE5CCB">
            <w:pPr>
              <w:rPr>
                <w:color w:val="auto"/>
                <w:sz w:val="24"/>
              </w:rPr>
            </w:pPr>
          </w:p>
        </w:tc>
      </w:tr>
      <w:tr w14:paraId="75CB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54249F7">
            <w:pPr>
              <w:jc w:val="center"/>
              <w:rPr>
                <w:color w:val="auto"/>
                <w:sz w:val="24"/>
              </w:rPr>
            </w:pPr>
            <w:r>
              <w:rPr>
                <w:rFonts w:hint="eastAsia"/>
                <w:color w:val="auto"/>
                <w:sz w:val="24"/>
              </w:rPr>
              <w:t>技术</w:t>
            </w:r>
          </w:p>
          <w:p w14:paraId="2952E3C2">
            <w:pPr>
              <w:jc w:val="center"/>
              <w:rPr>
                <w:color w:val="auto"/>
                <w:sz w:val="24"/>
              </w:rPr>
            </w:pPr>
            <w:r>
              <w:rPr>
                <w:rFonts w:hint="eastAsia"/>
                <w:color w:val="auto"/>
                <w:sz w:val="24"/>
              </w:rPr>
              <w:t>人员</w:t>
            </w:r>
          </w:p>
        </w:tc>
        <w:tc>
          <w:tcPr>
            <w:tcW w:w="947" w:type="dxa"/>
          </w:tcPr>
          <w:p w14:paraId="2553F9E8">
            <w:pPr>
              <w:rPr>
                <w:color w:val="auto"/>
                <w:sz w:val="24"/>
              </w:rPr>
            </w:pPr>
          </w:p>
        </w:tc>
        <w:tc>
          <w:tcPr>
            <w:tcW w:w="947" w:type="dxa"/>
          </w:tcPr>
          <w:p w14:paraId="483B541F">
            <w:pPr>
              <w:rPr>
                <w:color w:val="auto"/>
                <w:sz w:val="24"/>
              </w:rPr>
            </w:pPr>
          </w:p>
        </w:tc>
        <w:tc>
          <w:tcPr>
            <w:tcW w:w="947" w:type="dxa"/>
          </w:tcPr>
          <w:p w14:paraId="3DF30ACD">
            <w:pPr>
              <w:rPr>
                <w:color w:val="auto"/>
                <w:sz w:val="24"/>
              </w:rPr>
            </w:pPr>
          </w:p>
        </w:tc>
        <w:tc>
          <w:tcPr>
            <w:tcW w:w="947" w:type="dxa"/>
          </w:tcPr>
          <w:p w14:paraId="2CB5A3B9">
            <w:pPr>
              <w:rPr>
                <w:color w:val="auto"/>
                <w:sz w:val="24"/>
              </w:rPr>
            </w:pPr>
          </w:p>
        </w:tc>
        <w:tc>
          <w:tcPr>
            <w:tcW w:w="947" w:type="dxa"/>
          </w:tcPr>
          <w:p w14:paraId="6C37CC82">
            <w:pPr>
              <w:rPr>
                <w:color w:val="auto"/>
                <w:sz w:val="24"/>
              </w:rPr>
            </w:pPr>
          </w:p>
        </w:tc>
        <w:tc>
          <w:tcPr>
            <w:tcW w:w="947" w:type="dxa"/>
          </w:tcPr>
          <w:p w14:paraId="4D4037CA">
            <w:pPr>
              <w:rPr>
                <w:color w:val="auto"/>
                <w:sz w:val="24"/>
              </w:rPr>
            </w:pPr>
          </w:p>
        </w:tc>
        <w:tc>
          <w:tcPr>
            <w:tcW w:w="947" w:type="dxa"/>
          </w:tcPr>
          <w:p w14:paraId="3205B96F">
            <w:pPr>
              <w:rPr>
                <w:color w:val="auto"/>
                <w:sz w:val="24"/>
              </w:rPr>
            </w:pPr>
          </w:p>
        </w:tc>
        <w:tc>
          <w:tcPr>
            <w:tcW w:w="947" w:type="dxa"/>
          </w:tcPr>
          <w:p w14:paraId="08BD7937">
            <w:pPr>
              <w:rPr>
                <w:color w:val="auto"/>
                <w:sz w:val="24"/>
              </w:rPr>
            </w:pPr>
          </w:p>
        </w:tc>
      </w:tr>
      <w:tr w14:paraId="74A3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8B57766">
            <w:pPr>
              <w:jc w:val="center"/>
              <w:rPr>
                <w:color w:val="auto"/>
                <w:sz w:val="24"/>
              </w:rPr>
            </w:pPr>
          </w:p>
        </w:tc>
        <w:tc>
          <w:tcPr>
            <w:tcW w:w="947" w:type="dxa"/>
          </w:tcPr>
          <w:p w14:paraId="39BC81C3">
            <w:pPr>
              <w:rPr>
                <w:color w:val="auto"/>
                <w:sz w:val="24"/>
              </w:rPr>
            </w:pPr>
          </w:p>
        </w:tc>
        <w:tc>
          <w:tcPr>
            <w:tcW w:w="947" w:type="dxa"/>
          </w:tcPr>
          <w:p w14:paraId="25D4352E">
            <w:pPr>
              <w:rPr>
                <w:color w:val="auto"/>
                <w:sz w:val="24"/>
              </w:rPr>
            </w:pPr>
          </w:p>
        </w:tc>
        <w:tc>
          <w:tcPr>
            <w:tcW w:w="947" w:type="dxa"/>
          </w:tcPr>
          <w:p w14:paraId="66C230EA">
            <w:pPr>
              <w:rPr>
                <w:color w:val="auto"/>
                <w:sz w:val="24"/>
              </w:rPr>
            </w:pPr>
          </w:p>
        </w:tc>
        <w:tc>
          <w:tcPr>
            <w:tcW w:w="947" w:type="dxa"/>
          </w:tcPr>
          <w:p w14:paraId="2C0CD3CA">
            <w:pPr>
              <w:rPr>
                <w:color w:val="auto"/>
                <w:sz w:val="24"/>
              </w:rPr>
            </w:pPr>
          </w:p>
        </w:tc>
        <w:tc>
          <w:tcPr>
            <w:tcW w:w="947" w:type="dxa"/>
          </w:tcPr>
          <w:p w14:paraId="55AE905C">
            <w:pPr>
              <w:rPr>
                <w:color w:val="auto"/>
                <w:sz w:val="24"/>
              </w:rPr>
            </w:pPr>
          </w:p>
        </w:tc>
        <w:tc>
          <w:tcPr>
            <w:tcW w:w="947" w:type="dxa"/>
          </w:tcPr>
          <w:p w14:paraId="1DC734F7">
            <w:pPr>
              <w:rPr>
                <w:color w:val="auto"/>
                <w:sz w:val="24"/>
              </w:rPr>
            </w:pPr>
          </w:p>
        </w:tc>
        <w:tc>
          <w:tcPr>
            <w:tcW w:w="947" w:type="dxa"/>
          </w:tcPr>
          <w:p w14:paraId="06AF2CE9">
            <w:pPr>
              <w:rPr>
                <w:color w:val="auto"/>
                <w:sz w:val="24"/>
              </w:rPr>
            </w:pPr>
          </w:p>
        </w:tc>
        <w:tc>
          <w:tcPr>
            <w:tcW w:w="947" w:type="dxa"/>
          </w:tcPr>
          <w:p w14:paraId="1D79B681">
            <w:pPr>
              <w:rPr>
                <w:color w:val="auto"/>
                <w:sz w:val="24"/>
              </w:rPr>
            </w:pPr>
          </w:p>
        </w:tc>
      </w:tr>
      <w:tr w14:paraId="57BF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7360E66">
            <w:pPr>
              <w:jc w:val="center"/>
              <w:rPr>
                <w:color w:val="auto"/>
                <w:sz w:val="24"/>
              </w:rPr>
            </w:pPr>
          </w:p>
        </w:tc>
        <w:tc>
          <w:tcPr>
            <w:tcW w:w="947" w:type="dxa"/>
          </w:tcPr>
          <w:p w14:paraId="33F63962">
            <w:pPr>
              <w:rPr>
                <w:color w:val="auto"/>
                <w:sz w:val="24"/>
              </w:rPr>
            </w:pPr>
          </w:p>
        </w:tc>
        <w:tc>
          <w:tcPr>
            <w:tcW w:w="947" w:type="dxa"/>
          </w:tcPr>
          <w:p w14:paraId="645638A7">
            <w:pPr>
              <w:rPr>
                <w:color w:val="auto"/>
                <w:sz w:val="24"/>
              </w:rPr>
            </w:pPr>
          </w:p>
        </w:tc>
        <w:tc>
          <w:tcPr>
            <w:tcW w:w="947" w:type="dxa"/>
          </w:tcPr>
          <w:p w14:paraId="6898AAF2">
            <w:pPr>
              <w:rPr>
                <w:color w:val="auto"/>
                <w:sz w:val="24"/>
              </w:rPr>
            </w:pPr>
          </w:p>
        </w:tc>
        <w:tc>
          <w:tcPr>
            <w:tcW w:w="947" w:type="dxa"/>
          </w:tcPr>
          <w:p w14:paraId="1D031732">
            <w:pPr>
              <w:rPr>
                <w:color w:val="auto"/>
                <w:sz w:val="24"/>
              </w:rPr>
            </w:pPr>
          </w:p>
        </w:tc>
        <w:tc>
          <w:tcPr>
            <w:tcW w:w="947" w:type="dxa"/>
          </w:tcPr>
          <w:p w14:paraId="3394FD06">
            <w:pPr>
              <w:rPr>
                <w:color w:val="auto"/>
                <w:sz w:val="24"/>
              </w:rPr>
            </w:pPr>
          </w:p>
        </w:tc>
        <w:tc>
          <w:tcPr>
            <w:tcW w:w="947" w:type="dxa"/>
          </w:tcPr>
          <w:p w14:paraId="4F2F494D">
            <w:pPr>
              <w:rPr>
                <w:color w:val="auto"/>
                <w:sz w:val="24"/>
              </w:rPr>
            </w:pPr>
          </w:p>
        </w:tc>
        <w:tc>
          <w:tcPr>
            <w:tcW w:w="947" w:type="dxa"/>
          </w:tcPr>
          <w:p w14:paraId="70AEB247">
            <w:pPr>
              <w:rPr>
                <w:color w:val="auto"/>
                <w:sz w:val="24"/>
              </w:rPr>
            </w:pPr>
          </w:p>
        </w:tc>
        <w:tc>
          <w:tcPr>
            <w:tcW w:w="947" w:type="dxa"/>
          </w:tcPr>
          <w:p w14:paraId="4C6F983B">
            <w:pPr>
              <w:rPr>
                <w:color w:val="auto"/>
                <w:sz w:val="24"/>
              </w:rPr>
            </w:pPr>
          </w:p>
        </w:tc>
      </w:tr>
      <w:tr w14:paraId="1318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93FE28A">
            <w:pPr>
              <w:jc w:val="center"/>
              <w:rPr>
                <w:color w:val="auto"/>
                <w:sz w:val="24"/>
              </w:rPr>
            </w:pPr>
            <w:r>
              <w:rPr>
                <w:rFonts w:hint="eastAsia"/>
                <w:color w:val="auto"/>
                <w:sz w:val="24"/>
              </w:rPr>
              <w:t>售后服务人员</w:t>
            </w:r>
          </w:p>
        </w:tc>
        <w:tc>
          <w:tcPr>
            <w:tcW w:w="947" w:type="dxa"/>
          </w:tcPr>
          <w:p w14:paraId="10F3B03F">
            <w:pPr>
              <w:rPr>
                <w:color w:val="auto"/>
                <w:sz w:val="24"/>
              </w:rPr>
            </w:pPr>
          </w:p>
        </w:tc>
        <w:tc>
          <w:tcPr>
            <w:tcW w:w="947" w:type="dxa"/>
          </w:tcPr>
          <w:p w14:paraId="5A019166">
            <w:pPr>
              <w:rPr>
                <w:color w:val="auto"/>
                <w:sz w:val="24"/>
              </w:rPr>
            </w:pPr>
          </w:p>
        </w:tc>
        <w:tc>
          <w:tcPr>
            <w:tcW w:w="947" w:type="dxa"/>
          </w:tcPr>
          <w:p w14:paraId="650DA652">
            <w:pPr>
              <w:rPr>
                <w:color w:val="auto"/>
                <w:sz w:val="24"/>
              </w:rPr>
            </w:pPr>
          </w:p>
        </w:tc>
        <w:tc>
          <w:tcPr>
            <w:tcW w:w="947" w:type="dxa"/>
          </w:tcPr>
          <w:p w14:paraId="20AB2067">
            <w:pPr>
              <w:rPr>
                <w:color w:val="auto"/>
                <w:sz w:val="24"/>
              </w:rPr>
            </w:pPr>
          </w:p>
        </w:tc>
        <w:tc>
          <w:tcPr>
            <w:tcW w:w="947" w:type="dxa"/>
          </w:tcPr>
          <w:p w14:paraId="25967B60">
            <w:pPr>
              <w:rPr>
                <w:color w:val="auto"/>
                <w:sz w:val="24"/>
              </w:rPr>
            </w:pPr>
          </w:p>
        </w:tc>
        <w:tc>
          <w:tcPr>
            <w:tcW w:w="947" w:type="dxa"/>
          </w:tcPr>
          <w:p w14:paraId="0AA3F985">
            <w:pPr>
              <w:rPr>
                <w:color w:val="auto"/>
                <w:sz w:val="24"/>
              </w:rPr>
            </w:pPr>
          </w:p>
        </w:tc>
        <w:tc>
          <w:tcPr>
            <w:tcW w:w="947" w:type="dxa"/>
          </w:tcPr>
          <w:p w14:paraId="2911BEA4">
            <w:pPr>
              <w:rPr>
                <w:color w:val="auto"/>
                <w:sz w:val="24"/>
              </w:rPr>
            </w:pPr>
          </w:p>
        </w:tc>
        <w:tc>
          <w:tcPr>
            <w:tcW w:w="947" w:type="dxa"/>
          </w:tcPr>
          <w:p w14:paraId="2A6CF7C5">
            <w:pPr>
              <w:rPr>
                <w:color w:val="auto"/>
                <w:sz w:val="24"/>
              </w:rPr>
            </w:pPr>
          </w:p>
        </w:tc>
      </w:tr>
      <w:tr w14:paraId="0957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3790671D">
            <w:pPr>
              <w:rPr>
                <w:color w:val="auto"/>
                <w:sz w:val="24"/>
              </w:rPr>
            </w:pPr>
          </w:p>
        </w:tc>
        <w:tc>
          <w:tcPr>
            <w:tcW w:w="947" w:type="dxa"/>
          </w:tcPr>
          <w:p w14:paraId="37339939">
            <w:pPr>
              <w:rPr>
                <w:color w:val="auto"/>
                <w:sz w:val="24"/>
              </w:rPr>
            </w:pPr>
          </w:p>
        </w:tc>
        <w:tc>
          <w:tcPr>
            <w:tcW w:w="947" w:type="dxa"/>
          </w:tcPr>
          <w:p w14:paraId="582E5386">
            <w:pPr>
              <w:rPr>
                <w:color w:val="auto"/>
                <w:sz w:val="24"/>
              </w:rPr>
            </w:pPr>
          </w:p>
        </w:tc>
        <w:tc>
          <w:tcPr>
            <w:tcW w:w="947" w:type="dxa"/>
          </w:tcPr>
          <w:p w14:paraId="3A47A7B4">
            <w:pPr>
              <w:rPr>
                <w:color w:val="auto"/>
                <w:sz w:val="24"/>
              </w:rPr>
            </w:pPr>
          </w:p>
        </w:tc>
        <w:tc>
          <w:tcPr>
            <w:tcW w:w="947" w:type="dxa"/>
          </w:tcPr>
          <w:p w14:paraId="0472D835">
            <w:pPr>
              <w:rPr>
                <w:color w:val="auto"/>
                <w:sz w:val="24"/>
              </w:rPr>
            </w:pPr>
          </w:p>
        </w:tc>
        <w:tc>
          <w:tcPr>
            <w:tcW w:w="947" w:type="dxa"/>
          </w:tcPr>
          <w:p w14:paraId="0B192E3F">
            <w:pPr>
              <w:rPr>
                <w:color w:val="auto"/>
                <w:sz w:val="24"/>
              </w:rPr>
            </w:pPr>
          </w:p>
        </w:tc>
        <w:tc>
          <w:tcPr>
            <w:tcW w:w="947" w:type="dxa"/>
          </w:tcPr>
          <w:p w14:paraId="659B01DD">
            <w:pPr>
              <w:rPr>
                <w:color w:val="auto"/>
                <w:sz w:val="24"/>
              </w:rPr>
            </w:pPr>
          </w:p>
        </w:tc>
        <w:tc>
          <w:tcPr>
            <w:tcW w:w="947" w:type="dxa"/>
          </w:tcPr>
          <w:p w14:paraId="6BBE4226">
            <w:pPr>
              <w:rPr>
                <w:color w:val="auto"/>
                <w:sz w:val="24"/>
              </w:rPr>
            </w:pPr>
          </w:p>
        </w:tc>
        <w:tc>
          <w:tcPr>
            <w:tcW w:w="947" w:type="dxa"/>
          </w:tcPr>
          <w:p w14:paraId="168680CD">
            <w:pPr>
              <w:rPr>
                <w:color w:val="auto"/>
                <w:sz w:val="24"/>
              </w:rPr>
            </w:pPr>
          </w:p>
        </w:tc>
      </w:tr>
      <w:tr w14:paraId="053B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EF0DD27">
            <w:pPr>
              <w:rPr>
                <w:color w:val="auto"/>
                <w:sz w:val="24"/>
              </w:rPr>
            </w:pPr>
          </w:p>
        </w:tc>
        <w:tc>
          <w:tcPr>
            <w:tcW w:w="947" w:type="dxa"/>
          </w:tcPr>
          <w:p w14:paraId="398986A0">
            <w:pPr>
              <w:rPr>
                <w:color w:val="auto"/>
                <w:sz w:val="24"/>
              </w:rPr>
            </w:pPr>
          </w:p>
        </w:tc>
        <w:tc>
          <w:tcPr>
            <w:tcW w:w="947" w:type="dxa"/>
          </w:tcPr>
          <w:p w14:paraId="2A4A77D7">
            <w:pPr>
              <w:rPr>
                <w:color w:val="auto"/>
                <w:sz w:val="24"/>
              </w:rPr>
            </w:pPr>
          </w:p>
        </w:tc>
        <w:tc>
          <w:tcPr>
            <w:tcW w:w="947" w:type="dxa"/>
          </w:tcPr>
          <w:p w14:paraId="49359063">
            <w:pPr>
              <w:rPr>
                <w:color w:val="auto"/>
                <w:sz w:val="24"/>
              </w:rPr>
            </w:pPr>
          </w:p>
        </w:tc>
        <w:tc>
          <w:tcPr>
            <w:tcW w:w="947" w:type="dxa"/>
          </w:tcPr>
          <w:p w14:paraId="752BF9A7">
            <w:pPr>
              <w:rPr>
                <w:color w:val="auto"/>
                <w:sz w:val="24"/>
              </w:rPr>
            </w:pPr>
          </w:p>
        </w:tc>
        <w:tc>
          <w:tcPr>
            <w:tcW w:w="947" w:type="dxa"/>
          </w:tcPr>
          <w:p w14:paraId="4F6AAB57">
            <w:pPr>
              <w:rPr>
                <w:color w:val="auto"/>
                <w:sz w:val="24"/>
              </w:rPr>
            </w:pPr>
          </w:p>
        </w:tc>
        <w:tc>
          <w:tcPr>
            <w:tcW w:w="947" w:type="dxa"/>
          </w:tcPr>
          <w:p w14:paraId="1DB3DCFC">
            <w:pPr>
              <w:rPr>
                <w:color w:val="auto"/>
                <w:sz w:val="24"/>
              </w:rPr>
            </w:pPr>
          </w:p>
        </w:tc>
        <w:tc>
          <w:tcPr>
            <w:tcW w:w="947" w:type="dxa"/>
          </w:tcPr>
          <w:p w14:paraId="406FD156">
            <w:pPr>
              <w:rPr>
                <w:color w:val="auto"/>
                <w:sz w:val="24"/>
              </w:rPr>
            </w:pPr>
          </w:p>
        </w:tc>
        <w:tc>
          <w:tcPr>
            <w:tcW w:w="947" w:type="dxa"/>
          </w:tcPr>
          <w:p w14:paraId="17EB98F5">
            <w:pPr>
              <w:rPr>
                <w:color w:val="auto"/>
                <w:sz w:val="24"/>
              </w:rPr>
            </w:pPr>
          </w:p>
        </w:tc>
      </w:tr>
    </w:tbl>
    <w:p w14:paraId="370502C5">
      <w:pPr>
        <w:rPr>
          <w:rFonts w:ascii="宋体" w:hAnsi="宋体"/>
          <w:color w:val="auto"/>
          <w:sz w:val="24"/>
        </w:rPr>
      </w:pPr>
    </w:p>
    <w:p w14:paraId="3A75E8C0">
      <w:pPr>
        <w:rPr>
          <w:rFonts w:ascii="宋体" w:hAnsi="宋体"/>
          <w:color w:val="auto"/>
          <w:sz w:val="24"/>
        </w:rPr>
      </w:pPr>
    </w:p>
    <w:p w14:paraId="061A7F47">
      <w:pPr>
        <w:rPr>
          <w:rFonts w:ascii="宋体" w:hAnsi="宋体"/>
          <w:color w:val="auto"/>
          <w:sz w:val="24"/>
        </w:rPr>
      </w:pPr>
    </w:p>
    <w:p w14:paraId="7187BF36">
      <w:pPr>
        <w:rPr>
          <w:color w:val="auto"/>
          <w:sz w:val="24"/>
        </w:rPr>
      </w:pPr>
      <w:r>
        <w:rPr>
          <w:rFonts w:hint="eastAsia"/>
          <w:color w:val="auto"/>
          <w:sz w:val="24"/>
        </w:rPr>
        <w:t>供应商名称：XXX（盖单位公章）</w:t>
      </w:r>
    </w:p>
    <w:p w14:paraId="7FB92B8B">
      <w:pPr>
        <w:rPr>
          <w:color w:val="auto"/>
          <w:sz w:val="24"/>
        </w:rPr>
      </w:pPr>
      <w:r>
        <w:rPr>
          <w:rFonts w:hint="eastAsia"/>
          <w:color w:val="auto"/>
          <w:sz w:val="24"/>
        </w:rPr>
        <w:t>法定代表人或授权代表（签字）：XXX</w:t>
      </w:r>
    </w:p>
    <w:p w14:paraId="1164F820">
      <w:pPr>
        <w:rPr>
          <w:color w:val="auto"/>
          <w:sz w:val="24"/>
        </w:rPr>
      </w:pPr>
      <w:r>
        <w:rPr>
          <w:rFonts w:hint="eastAsia"/>
          <w:color w:val="auto"/>
          <w:sz w:val="24"/>
        </w:rPr>
        <w:t>日      期</w:t>
      </w:r>
      <w:r>
        <w:rPr>
          <w:rFonts w:hint="eastAsia" w:ascii="宋体" w:hAnsi="宋体"/>
          <w:color w:val="auto"/>
          <w:sz w:val="24"/>
        </w:rPr>
        <w:t>：</w:t>
      </w:r>
      <w:r>
        <w:rPr>
          <w:rFonts w:hint="eastAsia"/>
          <w:color w:val="auto"/>
          <w:sz w:val="24"/>
        </w:rPr>
        <w:t xml:space="preserve"> XXX</w:t>
      </w:r>
    </w:p>
    <w:p w14:paraId="5C0A5C0D">
      <w:pPr>
        <w:rPr>
          <w:color w:val="auto"/>
          <w:sz w:val="32"/>
          <w:szCs w:val="32"/>
        </w:rPr>
      </w:pPr>
    </w:p>
    <w:p w14:paraId="2390864B">
      <w:pPr>
        <w:rPr>
          <w:color w:val="auto"/>
          <w:sz w:val="32"/>
          <w:szCs w:val="32"/>
        </w:rPr>
      </w:pPr>
    </w:p>
    <w:p w14:paraId="5F8CF044">
      <w:pPr>
        <w:rPr>
          <w:color w:val="auto"/>
          <w:sz w:val="32"/>
          <w:szCs w:val="32"/>
        </w:rPr>
      </w:pPr>
    </w:p>
    <w:p w14:paraId="38D53521">
      <w:pPr>
        <w:widowControl/>
        <w:spacing w:line="360" w:lineRule="atLeast"/>
        <w:jc w:val="center"/>
        <w:outlineLvl w:val="1"/>
        <w:rPr>
          <w:rFonts w:ascii="宋体" w:hAnsi="宋体"/>
          <w:b/>
          <w:color w:val="auto"/>
          <w:sz w:val="32"/>
          <w:szCs w:val="32"/>
        </w:rPr>
      </w:pPr>
      <w:r>
        <w:rPr>
          <w:rFonts w:hint="eastAsia"/>
          <w:color w:val="auto"/>
          <w:sz w:val="32"/>
          <w:szCs w:val="32"/>
        </w:rPr>
        <w:br w:type="page"/>
      </w:r>
      <w:r>
        <w:rPr>
          <w:rFonts w:hint="eastAsia" w:ascii="宋体" w:hAnsi="宋体"/>
          <w:b/>
          <w:color w:val="auto"/>
          <w:sz w:val="32"/>
          <w:szCs w:val="32"/>
        </w:rPr>
        <w:t>十一、供应商诚信情况承诺函</w:t>
      </w:r>
    </w:p>
    <w:p w14:paraId="0B57F818">
      <w:pPr>
        <w:spacing w:line="360" w:lineRule="auto"/>
        <w:rPr>
          <w:rFonts w:ascii="宋体" w:hAnsi="宋体"/>
          <w:bCs/>
          <w:color w:val="auto"/>
          <w:sz w:val="24"/>
        </w:rPr>
      </w:pPr>
    </w:p>
    <w:p w14:paraId="1872FE49">
      <w:pPr>
        <w:spacing w:line="360" w:lineRule="auto"/>
        <w:rPr>
          <w:rFonts w:ascii="宋体" w:hAnsi="宋体"/>
          <w:bCs/>
          <w:color w:val="auto"/>
          <w:sz w:val="24"/>
        </w:rPr>
      </w:pPr>
      <w:r>
        <w:rPr>
          <w:rFonts w:hint="eastAsia" w:ascii="宋体" w:hAnsi="宋体"/>
          <w:bCs/>
          <w:color w:val="auto"/>
          <w:sz w:val="24"/>
        </w:rPr>
        <w:t>致</w:t>
      </w:r>
      <w:r>
        <w:rPr>
          <w:rFonts w:hint="eastAsia" w:ascii="宋体" w:hAnsi="宋体"/>
          <w:bCs/>
          <w:color w:val="auto"/>
          <w:sz w:val="24"/>
          <w:u w:val="single"/>
        </w:rPr>
        <w:t xml:space="preserve">                    </w:t>
      </w:r>
      <w:r>
        <w:rPr>
          <w:rFonts w:hint="eastAsia" w:ascii="宋体" w:hAnsi="宋体"/>
          <w:bCs/>
          <w:color w:val="auto"/>
          <w:sz w:val="24"/>
        </w:rPr>
        <w:t xml:space="preserve">（采购代理机构）： </w:t>
      </w:r>
    </w:p>
    <w:p w14:paraId="3387D96E">
      <w:pPr>
        <w:spacing w:line="360" w:lineRule="auto"/>
        <w:rPr>
          <w:rFonts w:ascii="宋体" w:hAnsi="宋体"/>
          <w:color w:val="auto"/>
          <w:sz w:val="24"/>
        </w:rPr>
      </w:pPr>
      <w:r>
        <w:rPr>
          <w:rFonts w:hint="eastAsia" w:ascii="宋体" w:hAnsi="宋体"/>
          <w:bCs/>
          <w:color w:val="auto"/>
          <w:sz w:val="24"/>
        </w:rPr>
        <w:t xml:space="preserve">    本单位</w:t>
      </w:r>
      <w:r>
        <w:rPr>
          <w:rFonts w:hint="eastAsia" w:ascii="宋体" w:hAnsi="宋体"/>
          <w:bCs/>
          <w:color w:val="auto"/>
          <w:sz w:val="24"/>
          <w:u w:val="single"/>
        </w:rPr>
        <w:t xml:space="preserve">                   </w:t>
      </w:r>
      <w:r>
        <w:rPr>
          <w:rFonts w:hint="eastAsia" w:ascii="宋体" w:hAnsi="宋体"/>
          <w:bCs/>
          <w:color w:val="auto"/>
          <w:sz w:val="24"/>
        </w:rPr>
        <w:t>（供应商名称）参加“</w:t>
      </w:r>
      <w:r>
        <w:rPr>
          <w:rFonts w:hint="eastAsia" w:ascii="宋体" w:hAnsi="宋体"/>
          <w:bCs/>
          <w:color w:val="auto"/>
          <w:sz w:val="24"/>
          <w:u w:val="single"/>
        </w:rPr>
        <w:t xml:space="preserve">                </w:t>
      </w:r>
      <w:r>
        <w:rPr>
          <w:rFonts w:hint="eastAsia" w:ascii="宋体" w:hAnsi="宋体"/>
          <w:bCs/>
          <w:color w:val="auto"/>
          <w:sz w:val="24"/>
        </w:rPr>
        <w:t>”项目（项目编号：</w:t>
      </w:r>
      <w:r>
        <w:rPr>
          <w:rFonts w:hint="eastAsia" w:ascii="宋体" w:hAnsi="宋体"/>
          <w:bCs/>
          <w:color w:val="auto"/>
          <w:sz w:val="24"/>
          <w:u w:val="single"/>
        </w:rPr>
        <w:t xml:space="preserve">                </w:t>
      </w:r>
      <w:r>
        <w:rPr>
          <w:rFonts w:hint="eastAsia" w:ascii="宋体" w:hAnsi="宋体"/>
          <w:bCs/>
          <w:color w:val="auto"/>
          <w:sz w:val="24"/>
        </w:rPr>
        <w:t>）的政府采购活动，</w:t>
      </w:r>
      <w:r>
        <w:rPr>
          <w:rFonts w:hint="eastAsia" w:ascii="宋体" w:hAnsi="宋体"/>
          <w:color w:val="auto"/>
          <w:sz w:val="24"/>
        </w:rPr>
        <w:t>现根据《四川省公共资源交易领域严重失信联合惩戒实施办法》(川发改信用规(2019]405号)、《关于对政府采购领域严重违法失信主体开展联合惩戒的合作备忘录》〈发改财金(2018]1614号)的相关规定，针</w:t>
      </w:r>
      <w:r>
        <w:rPr>
          <w:rFonts w:hint="eastAsia" w:ascii="宋体" w:hAnsi="宋体"/>
          <w:bCs/>
          <w:color w:val="auto"/>
          <w:sz w:val="24"/>
        </w:rPr>
        <w:t>对本单位的诚信情况作出以下承诺：</w:t>
      </w:r>
    </w:p>
    <w:p w14:paraId="47222EB7">
      <w:pPr>
        <w:spacing w:line="360" w:lineRule="auto"/>
        <w:ind w:firstLine="480" w:firstLineChars="200"/>
        <w:rPr>
          <w:rFonts w:ascii="宋体" w:hAnsi="宋体"/>
          <w:bCs/>
          <w:color w:val="auto"/>
          <w:sz w:val="24"/>
        </w:rPr>
      </w:pPr>
    </w:p>
    <w:p w14:paraId="67B6F5D8">
      <w:pPr>
        <w:spacing w:line="360" w:lineRule="auto"/>
        <w:ind w:firstLine="480" w:firstLineChars="200"/>
        <w:rPr>
          <w:rFonts w:ascii="宋体" w:hAnsi="宋体"/>
          <w:bCs/>
          <w:color w:val="auto"/>
          <w:sz w:val="24"/>
        </w:rPr>
      </w:pPr>
      <w:r>
        <w:rPr>
          <w:rFonts w:hint="eastAsia" w:ascii="宋体" w:hAnsi="宋体"/>
          <w:bCs/>
          <w:color w:val="auto"/>
          <w:sz w:val="24"/>
        </w:rPr>
        <w:t>我单位具有</w:t>
      </w:r>
      <w:r>
        <w:rPr>
          <w:rFonts w:hint="eastAsia" w:ascii="宋体" w:hAnsi="宋体"/>
          <w:color w:val="auto"/>
          <w:sz w:val="24"/>
        </w:rPr>
        <w:t>《四川省公共资源交易领域严重失信联合惩戒实施办法》(川发改信用规(2019]405号)、《关于对政府采购领域严重违法失信主体开展联合惩戒的合作备忘录》〈发改财金(2018]1614号)所规定的失信行为</w:t>
      </w:r>
      <w:r>
        <w:rPr>
          <w:rFonts w:hint="eastAsia" w:ascii="宋体" w:hAnsi="宋体"/>
          <w:color w:val="auto"/>
          <w:sz w:val="24"/>
          <w:u w:val="single"/>
        </w:rPr>
        <w:t xml:space="preserve">      </w:t>
      </w:r>
      <w:r>
        <w:rPr>
          <w:rFonts w:hint="eastAsia" w:ascii="宋体" w:hAnsi="宋体"/>
          <w:color w:val="auto"/>
          <w:sz w:val="24"/>
        </w:rPr>
        <w:t>次（填写失信行为的次数时，建议使用大写数字，如零、壹、贰、叁、肆等。）；</w:t>
      </w:r>
      <w:r>
        <w:rPr>
          <w:rFonts w:hint="eastAsia" w:ascii="宋体" w:hAnsi="宋体"/>
          <w:bCs/>
          <w:color w:val="auto"/>
          <w:sz w:val="24"/>
        </w:rPr>
        <w:t>（仅限投标截止当日仍在有效期的次数）</w:t>
      </w:r>
    </w:p>
    <w:p w14:paraId="453C812F">
      <w:pPr>
        <w:spacing w:line="360" w:lineRule="auto"/>
        <w:ind w:firstLine="480" w:firstLineChars="200"/>
        <w:rPr>
          <w:rFonts w:ascii="宋体" w:hAnsi="宋体"/>
          <w:color w:val="auto"/>
          <w:sz w:val="24"/>
        </w:rPr>
      </w:pPr>
    </w:p>
    <w:p w14:paraId="65879134">
      <w:pPr>
        <w:spacing w:line="360" w:lineRule="auto"/>
        <w:ind w:firstLine="480" w:firstLineChars="200"/>
        <w:rPr>
          <w:rFonts w:ascii="宋体" w:hAnsi="宋体"/>
          <w:color w:val="auto"/>
          <w:sz w:val="24"/>
        </w:rPr>
      </w:pPr>
      <w:r>
        <w:rPr>
          <w:rFonts w:hint="eastAsia" w:ascii="宋体" w:hAnsi="宋体"/>
          <w:color w:val="auto"/>
          <w:sz w:val="24"/>
        </w:rPr>
        <w:t>我</w:t>
      </w:r>
      <w:r>
        <w:rPr>
          <w:rFonts w:hint="eastAsia" w:ascii="宋体" w:hAnsi="宋体"/>
          <w:bCs/>
          <w:color w:val="auto"/>
          <w:sz w:val="24"/>
        </w:rPr>
        <w:t>单位</w:t>
      </w:r>
      <w:r>
        <w:rPr>
          <w:rFonts w:hint="eastAsia" w:ascii="宋体" w:hAnsi="宋体"/>
          <w:color w:val="auto"/>
          <w:sz w:val="24"/>
        </w:rPr>
        <w:t>对以上填写信息的真实性负责。如有不实，本</w:t>
      </w:r>
      <w:r>
        <w:rPr>
          <w:rFonts w:hint="eastAsia" w:ascii="宋体" w:hAnsi="宋体"/>
          <w:bCs/>
          <w:color w:val="auto"/>
          <w:sz w:val="24"/>
        </w:rPr>
        <w:t>单位</w:t>
      </w:r>
      <w:r>
        <w:rPr>
          <w:rFonts w:hint="eastAsia" w:ascii="宋体" w:hAnsi="宋体"/>
          <w:color w:val="auto"/>
          <w:sz w:val="24"/>
        </w:rPr>
        <w:t>愿承担由此产生的一切法律责任和后果。</w:t>
      </w:r>
    </w:p>
    <w:p w14:paraId="028B832A">
      <w:pPr>
        <w:spacing w:line="360" w:lineRule="auto"/>
        <w:rPr>
          <w:rFonts w:ascii="宋体" w:hAnsi="宋体"/>
          <w:bCs/>
          <w:color w:val="auto"/>
          <w:sz w:val="24"/>
        </w:rPr>
      </w:pPr>
    </w:p>
    <w:p w14:paraId="7FCF6D6C">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供应商名称：</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（单位公章）。</w:t>
      </w:r>
    </w:p>
    <w:p w14:paraId="5FE90B9F">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法定代表人/单位负责人或授权代表（签字或加盖个人印章）：</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w:t>
      </w:r>
    </w:p>
    <w:p w14:paraId="75C60B56">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 xml:space="preserve">日期: </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w:t>
      </w:r>
    </w:p>
    <w:p w14:paraId="76E5A0D4">
      <w:pPr>
        <w:spacing w:line="360" w:lineRule="auto"/>
        <w:rPr>
          <w:rFonts w:ascii="宋体" w:hAnsi="宋体"/>
          <w:bCs/>
          <w:color w:val="auto"/>
          <w:sz w:val="24"/>
        </w:rPr>
      </w:pPr>
    </w:p>
    <w:p w14:paraId="678F3273">
      <w:pPr>
        <w:spacing w:line="360" w:lineRule="auto"/>
        <w:rPr>
          <w:rFonts w:ascii="宋体" w:hAnsi="宋体"/>
          <w:bCs/>
          <w:color w:val="auto"/>
          <w:sz w:val="24"/>
        </w:rPr>
      </w:pPr>
      <w:r>
        <w:rPr>
          <w:rFonts w:hint="eastAsia" w:ascii="宋体" w:hAnsi="宋体"/>
          <w:bCs/>
          <w:color w:val="auto"/>
          <w:sz w:val="24"/>
        </w:rPr>
        <w:t>注：</w:t>
      </w:r>
    </w:p>
    <w:p w14:paraId="52BADE2B">
      <w:pPr>
        <w:rPr>
          <w:rFonts w:ascii="宋体" w:hAnsi="宋体"/>
          <w:bCs/>
          <w:color w:val="auto"/>
          <w:sz w:val="24"/>
        </w:rPr>
      </w:pPr>
      <w:r>
        <w:rPr>
          <w:rFonts w:hint="eastAsia" w:ascii="宋体" w:hAnsi="宋体"/>
          <w:bCs/>
          <w:color w:val="auto"/>
          <w:sz w:val="24"/>
        </w:rPr>
        <w:t>1、本表格式及内容仅供参考，供应商也可提供自己的格式；</w:t>
      </w:r>
    </w:p>
    <w:p w14:paraId="543D0265">
      <w:pPr>
        <w:rPr>
          <w:rFonts w:ascii="宋体" w:hAnsi="宋体"/>
          <w:bCs/>
          <w:color w:val="auto"/>
          <w:sz w:val="24"/>
        </w:rPr>
      </w:pPr>
      <w:r>
        <w:rPr>
          <w:rFonts w:hint="eastAsia" w:ascii="宋体" w:hAnsi="宋体"/>
          <w:bCs/>
          <w:color w:val="auto"/>
          <w:sz w:val="24"/>
        </w:rPr>
        <w:t>2、供应商存在以上所述失信行为的，将按照</w:t>
      </w:r>
      <w:r>
        <w:rPr>
          <w:rFonts w:hint="eastAsia" w:ascii="宋体" w:hAnsi="宋体"/>
          <w:color w:val="auto"/>
          <w:sz w:val="24"/>
        </w:rPr>
        <w:t>第二章供应商须知附表的要求进行处理；</w:t>
      </w:r>
    </w:p>
    <w:p w14:paraId="4BA5AA93">
      <w:pPr>
        <w:rPr>
          <w:rFonts w:ascii="宋体" w:hAnsi="宋体"/>
          <w:color w:val="auto"/>
          <w:kern w:val="0"/>
          <w:sz w:val="24"/>
        </w:rPr>
      </w:pPr>
      <w:r>
        <w:rPr>
          <w:rFonts w:hint="eastAsia" w:ascii="宋体" w:hAnsi="宋体"/>
          <w:bCs/>
          <w:color w:val="auto"/>
          <w:sz w:val="24"/>
        </w:rPr>
        <w:t>3、</w:t>
      </w:r>
      <w:r>
        <w:rPr>
          <w:rFonts w:ascii="宋体" w:hAnsi="宋体"/>
          <w:bCs/>
          <w:color w:val="auto"/>
          <w:sz w:val="24"/>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宋体" w:hAnsi="宋体"/>
          <w:color w:val="auto"/>
          <w:kern w:val="0"/>
          <w:sz w:val="24"/>
        </w:rPr>
        <w:t>确了有效期的，不再重复计算。</w:t>
      </w:r>
    </w:p>
    <w:p w14:paraId="4ECC88A1">
      <w:pPr>
        <w:rPr>
          <w:rFonts w:ascii="宋体" w:hAnsi="宋体"/>
          <w:bCs/>
          <w:color w:val="auto"/>
          <w:sz w:val="24"/>
        </w:rPr>
      </w:pPr>
      <w:r>
        <w:rPr>
          <w:rFonts w:hint="eastAsia" w:ascii="宋体" w:hAnsi="宋体"/>
          <w:color w:val="auto"/>
          <w:kern w:val="0"/>
          <w:sz w:val="24"/>
        </w:rPr>
        <w:t>4、</w:t>
      </w:r>
      <w:r>
        <w:rPr>
          <w:rFonts w:hint="eastAsia" w:ascii="宋体" w:hAnsi="宋体"/>
          <w:bCs/>
          <w:color w:val="auto"/>
          <w:sz w:val="24"/>
        </w:rPr>
        <w:t>供应商的失信行为受到行政处罚或司法惩处的，评审时不再对其以价格加成进行惩戒。</w:t>
      </w:r>
    </w:p>
    <w:p w14:paraId="501B2BBE">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十</w:t>
      </w:r>
      <w:r>
        <w:rPr>
          <w:rFonts w:hint="eastAsia" w:ascii="宋体" w:hAnsi="宋体"/>
          <w:b/>
          <w:color w:val="auto"/>
          <w:sz w:val="32"/>
          <w:szCs w:val="32"/>
          <w:lang w:val="en-US" w:eastAsia="zh-CN"/>
        </w:rPr>
        <w:t>二</w:t>
      </w:r>
      <w:r>
        <w:rPr>
          <w:rFonts w:hint="eastAsia" w:ascii="宋体" w:hAnsi="宋体"/>
          <w:b/>
          <w:color w:val="auto"/>
          <w:sz w:val="32"/>
          <w:szCs w:val="32"/>
        </w:rPr>
        <w:t>、关于采购代理服务费的支付承诺</w:t>
      </w:r>
    </w:p>
    <w:p w14:paraId="18583872">
      <w:pPr>
        <w:widowControl/>
        <w:spacing w:line="360" w:lineRule="auto"/>
        <w:jc w:val="left"/>
        <w:outlineLvl w:val="1"/>
        <w:rPr>
          <w:rFonts w:hint="eastAsia" w:ascii="宋体" w:hAnsi="宋体"/>
          <w:color w:val="auto"/>
          <w:sz w:val="24"/>
          <w:u w:val="single"/>
        </w:rPr>
      </w:pPr>
    </w:p>
    <w:p w14:paraId="32D9D9D6">
      <w:pPr>
        <w:widowControl/>
        <w:spacing w:line="360" w:lineRule="auto"/>
        <w:jc w:val="left"/>
        <w:outlineLvl w:val="1"/>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（采购代理机构名称）：</w:t>
      </w:r>
    </w:p>
    <w:p w14:paraId="55069C55">
      <w:pPr>
        <w:widowControl/>
        <w:spacing w:line="360" w:lineRule="auto"/>
        <w:ind w:firstLine="480" w:firstLineChars="200"/>
        <w:jc w:val="left"/>
        <w:outlineLvl w:val="1"/>
        <w:rPr>
          <w:rFonts w:ascii="宋体" w:hAnsi="宋体"/>
          <w:color w:val="auto"/>
          <w:sz w:val="24"/>
        </w:rPr>
      </w:pPr>
      <w:r>
        <w:rPr>
          <w:rFonts w:hint="eastAsia" w:ascii="宋体" w:hAnsi="宋体"/>
          <w:color w:val="auto"/>
          <w:sz w:val="24"/>
        </w:rPr>
        <w:t>我公司作为本次采购项目的供应商，参与贵单位组织的“</w:t>
      </w:r>
      <w:r>
        <w:rPr>
          <w:rFonts w:hint="eastAsia" w:ascii="宋体" w:hAnsi="宋体"/>
          <w:color w:val="auto"/>
          <w:sz w:val="24"/>
          <w:u w:val="single"/>
        </w:rPr>
        <w:t xml:space="preserve">               </w:t>
      </w:r>
      <w:r>
        <w:rPr>
          <w:rFonts w:hint="eastAsia" w:ascii="宋体" w:hAnsi="宋体"/>
          <w:color w:val="auto"/>
          <w:sz w:val="24"/>
        </w:rPr>
        <w:t>”项目（项目编号：</w:t>
      </w:r>
      <w:r>
        <w:rPr>
          <w:rFonts w:hint="eastAsia" w:ascii="宋体" w:hAnsi="宋体"/>
          <w:color w:val="auto"/>
          <w:sz w:val="24"/>
          <w:u w:val="single"/>
        </w:rPr>
        <w:t xml:space="preserve">              </w:t>
      </w:r>
      <w:r>
        <w:rPr>
          <w:rFonts w:hint="eastAsia" w:ascii="宋体" w:hAnsi="宋体"/>
          <w:color w:val="auto"/>
          <w:sz w:val="24"/>
        </w:rPr>
        <w:t>）采购活动，若我公司有幸成交，我公司承诺在领取成交通知书的同时，向贵公司一次性支付</w:t>
      </w:r>
      <w:r>
        <w:rPr>
          <w:rFonts w:hint="eastAsia" w:ascii="宋体" w:hAnsi="宋体"/>
          <w:color w:val="auto"/>
          <w:sz w:val="24"/>
          <w:lang w:val="en-US" w:eastAsia="zh-CN"/>
        </w:rPr>
        <w:t>询价通知书</w:t>
      </w:r>
      <w:r>
        <w:rPr>
          <w:rFonts w:hint="eastAsia" w:ascii="宋体" w:hAnsi="宋体"/>
          <w:color w:val="auto"/>
          <w:sz w:val="24"/>
        </w:rPr>
        <w:t>规定的采购代理服务费。如因我公司自身原因造成取消成交资格或自愿放弃成交资格的，我公司支付的采购代理服务费不予退还，由此造成的损失由我方自行承担。</w:t>
      </w:r>
    </w:p>
    <w:p w14:paraId="07EBC9EA">
      <w:pPr>
        <w:spacing w:line="360" w:lineRule="auto"/>
        <w:ind w:firstLine="480" w:firstLineChars="200"/>
        <w:rPr>
          <w:rFonts w:ascii="宋体" w:hAnsi="宋体"/>
          <w:color w:val="auto"/>
          <w:sz w:val="24"/>
        </w:rPr>
      </w:pPr>
      <w:r>
        <w:rPr>
          <w:rFonts w:hint="eastAsia" w:ascii="宋体" w:hAnsi="宋体"/>
          <w:color w:val="auto"/>
          <w:sz w:val="24"/>
        </w:rPr>
        <w:t>特此承诺。</w:t>
      </w:r>
    </w:p>
    <w:p w14:paraId="6FC112BA">
      <w:pPr>
        <w:spacing w:line="360" w:lineRule="auto"/>
        <w:jc w:val="center"/>
        <w:rPr>
          <w:rFonts w:ascii="宋体" w:hAnsi="宋体"/>
          <w:b/>
          <w:color w:val="auto"/>
          <w:sz w:val="24"/>
        </w:rPr>
      </w:pPr>
    </w:p>
    <w:p w14:paraId="0433DFBE">
      <w:pPr>
        <w:rPr>
          <w:rFonts w:hint="eastAsia"/>
          <w:color w:val="auto"/>
          <w:sz w:val="24"/>
          <w:highlight w:val="none"/>
        </w:rPr>
      </w:pPr>
      <w:r>
        <w:rPr>
          <w:rFonts w:hint="eastAsia"/>
          <w:color w:val="auto"/>
          <w:sz w:val="24"/>
          <w:highlight w:val="none"/>
        </w:rPr>
        <w:t>供应商名称：XXX（盖单位公章）</w:t>
      </w:r>
    </w:p>
    <w:p w14:paraId="6CB71EE7">
      <w:pPr>
        <w:rPr>
          <w:rFonts w:hint="eastAsia"/>
          <w:color w:val="auto"/>
          <w:sz w:val="24"/>
          <w:highlight w:val="none"/>
        </w:rPr>
      </w:pPr>
      <w:r>
        <w:rPr>
          <w:rFonts w:hint="eastAsia"/>
          <w:color w:val="auto"/>
          <w:sz w:val="24"/>
          <w:highlight w:val="none"/>
        </w:rPr>
        <w:t>法定代表人或授权代表（签字）：XXX</w:t>
      </w:r>
    </w:p>
    <w:p w14:paraId="6F919AA4">
      <w:pPr>
        <w:rPr>
          <w:rFonts w:hint="eastAsia"/>
          <w:color w:val="auto"/>
          <w:sz w:val="24"/>
          <w:highlight w:val="none"/>
        </w:rPr>
      </w:pPr>
      <w:r>
        <w:rPr>
          <w:rFonts w:hint="eastAsia"/>
          <w:color w:val="auto"/>
          <w:sz w:val="24"/>
          <w:highlight w:val="none"/>
        </w:rPr>
        <w:t>日      期</w:t>
      </w:r>
      <w:r>
        <w:rPr>
          <w:rFonts w:hint="eastAsia" w:ascii="宋体" w:hAnsi="宋体"/>
          <w:color w:val="auto"/>
          <w:sz w:val="24"/>
          <w:highlight w:val="none"/>
        </w:rPr>
        <w:t>：XXXX</w:t>
      </w:r>
    </w:p>
    <w:p w14:paraId="46F95C8A">
      <w:pPr>
        <w:spacing w:line="360" w:lineRule="auto"/>
        <w:rPr>
          <w:rFonts w:ascii="宋体" w:hAnsi="宋体"/>
          <w:b/>
          <w:color w:val="auto"/>
          <w:sz w:val="32"/>
          <w:szCs w:val="32"/>
        </w:rPr>
      </w:pPr>
    </w:p>
    <w:p w14:paraId="4E745B0F">
      <w:pPr>
        <w:pStyle w:val="163"/>
        <w:rPr>
          <w:rFonts w:hAnsi="宋体"/>
          <w:color w:val="auto"/>
        </w:rPr>
      </w:pPr>
    </w:p>
    <w:p w14:paraId="2F214DBE">
      <w:pPr>
        <w:pStyle w:val="163"/>
        <w:rPr>
          <w:rFonts w:hAnsi="宋体"/>
          <w:color w:val="auto"/>
        </w:rPr>
      </w:pPr>
      <w:r>
        <w:rPr>
          <w:rFonts w:hint="eastAsia" w:hAnsi="宋体"/>
          <w:color w:val="auto"/>
        </w:rPr>
        <w:t>注：适用于第二章供应商须知附表中规定采购代理服务费由成交人支付，由采购人支付的，可不提供此承诺。</w:t>
      </w:r>
    </w:p>
    <w:p w14:paraId="507C346F">
      <w:pPr>
        <w:spacing w:line="360" w:lineRule="auto"/>
        <w:jc w:val="left"/>
        <w:rPr>
          <w:rFonts w:ascii="宋体" w:hAnsi="宋体"/>
          <w:b/>
          <w:color w:val="auto"/>
          <w:sz w:val="32"/>
          <w:szCs w:val="32"/>
        </w:rPr>
      </w:pPr>
    </w:p>
    <w:p w14:paraId="42EE29FC">
      <w:pPr>
        <w:spacing w:line="360" w:lineRule="auto"/>
        <w:jc w:val="center"/>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十</w:t>
      </w:r>
      <w:r>
        <w:rPr>
          <w:rFonts w:hint="eastAsia" w:ascii="宋体" w:hAnsi="宋体"/>
          <w:b/>
          <w:color w:val="auto"/>
          <w:sz w:val="32"/>
          <w:szCs w:val="32"/>
          <w:lang w:val="en-US" w:eastAsia="zh-CN"/>
        </w:rPr>
        <w:t>三</w:t>
      </w:r>
      <w:r>
        <w:rPr>
          <w:rFonts w:hint="eastAsia" w:ascii="宋体" w:hAnsi="宋体"/>
          <w:b/>
          <w:color w:val="auto"/>
          <w:sz w:val="32"/>
          <w:szCs w:val="32"/>
        </w:rPr>
        <w:t>、其他材料</w:t>
      </w:r>
    </w:p>
    <w:p w14:paraId="13CBF766">
      <w:pPr>
        <w:widowControl/>
        <w:spacing w:line="480" w:lineRule="auto"/>
        <w:ind w:firstLine="470" w:firstLineChars="196"/>
        <w:jc w:val="left"/>
        <w:outlineLvl w:val="1"/>
        <w:rPr>
          <w:rFonts w:ascii="宋体" w:hAnsi="宋体"/>
          <w:color w:val="auto"/>
          <w:sz w:val="24"/>
        </w:rPr>
      </w:pPr>
    </w:p>
    <w:p w14:paraId="132A4F34">
      <w:pPr>
        <w:widowControl/>
        <w:spacing w:line="480" w:lineRule="auto"/>
        <w:ind w:firstLine="470" w:firstLineChars="196"/>
        <w:jc w:val="left"/>
        <w:outlineLvl w:val="1"/>
        <w:rPr>
          <w:rFonts w:ascii="宋体" w:hAnsi="宋体"/>
          <w:color w:val="auto"/>
          <w:sz w:val="24"/>
        </w:rPr>
      </w:pPr>
    </w:p>
    <w:p w14:paraId="184AD178">
      <w:pPr>
        <w:widowControl/>
        <w:spacing w:line="480" w:lineRule="auto"/>
        <w:ind w:firstLine="470" w:firstLineChars="196"/>
        <w:jc w:val="left"/>
        <w:outlineLvl w:val="1"/>
        <w:rPr>
          <w:rFonts w:ascii="宋体" w:hAnsi="宋体"/>
          <w:color w:val="auto"/>
          <w:sz w:val="24"/>
        </w:rPr>
      </w:pPr>
    </w:p>
    <w:p w14:paraId="5709C0D6">
      <w:pPr>
        <w:widowControl/>
        <w:spacing w:line="480" w:lineRule="auto"/>
        <w:ind w:firstLine="470" w:firstLineChars="196"/>
        <w:jc w:val="left"/>
        <w:outlineLvl w:val="1"/>
        <w:rPr>
          <w:rFonts w:ascii="宋体" w:hAnsi="宋体"/>
          <w:color w:val="auto"/>
          <w:sz w:val="24"/>
        </w:rPr>
      </w:pPr>
    </w:p>
    <w:p w14:paraId="106F7196">
      <w:pPr>
        <w:widowControl/>
        <w:spacing w:line="480" w:lineRule="auto"/>
        <w:ind w:firstLine="470" w:firstLineChars="196"/>
        <w:jc w:val="left"/>
        <w:outlineLvl w:val="1"/>
        <w:rPr>
          <w:rFonts w:ascii="宋体" w:hAnsi="宋体"/>
          <w:color w:val="auto"/>
          <w:sz w:val="24"/>
        </w:rPr>
      </w:pPr>
    </w:p>
    <w:p w14:paraId="6C09DCB5">
      <w:pPr>
        <w:widowControl/>
        <w:spacing w:line="480" w:lineRule="auto"/>
        <w:ind w:firstLine="470" w:firstLineChars="196"/>
        <w:jc w:val="left"/>
        <w:outlineLvl w:val="1"/>
        <w:rPr>
          <w:rFonts w:ascii="宋体" w:hAnsi="宋体"/>
          <w:color w:val="auto"/>
          <w:sz w:val="24"/>
        </w:rPr>
      </w:pPr>
    </w:p>
    <w:p w14:paraId="530369EA">
      <w:pPr>
        <w:widowControl/>
        <w:spacing w:line="480" w:lineRule="auto"/>
        <w:ind w:firstLine="470" w:firstLineChars="196"/>
        <w:jc w:val="left"/>
        <w:outlineLvl w:val="1"/>
        <w:rPr>
          <w:rFonts w:ascii="宋体" w:hAnsi="宋体"/>
          <w:color w:val="auto"/>
          <w:sz w:val="24"/>
        </w:rPr>
      </w:pPr>
    </w:p>
    <w:p w14:paraId="4D648782">
      <w:pPr>
        <w:widowControl/>
        <w:spacing w:line="480" w:lineRule="auto"/>
        <w:ind w:firstLine="470" w:firstLineChars="196"/>
        <w:jc w:val="left"/>
        <w:outlineLvl w:val="1"/>
        <w:rPr>
          <w:rFonts w:ascii="宋体" w:hAnsi="宋体"/>
          <w:color w:val="auto"/>
          <w:sz w:val="24"/>
        </w:rPr>
      </w:pPr>
      <w:r>
        <w:rPr>
          <w:rFonts w:hint="eastAsia" w:ascii="宋体" w:hAnsi="宋体"/>
          <w:color w:val="auto"/>
          <w:sz w:val="24"/>
        </w:rPr>
        <w:t>注：供应商在响应文件中可以提供以上本章格式未列明其他材料。</w:t>
      </w:r>
    </w:p>
    <w:p w14:paraId="53295808">
      <w:pPr>
        <w:pStyle w:val="163"/>
        <w:rPr>
          <w:rFonts w:hAnsi="宋体"/>
          <w:color w:val="auto"/>
        </w:rPr>
      </w:pPr>
    </w:p>
    <w:p w14:paraId="50D80A7E">
      <w:pPr>
        <w:pStyle w:val="163"/>
        <w:rPr>
          <w:rFonts w:hAnsi="宋体"/>
          <w:color w:val="auto"/>
        </w:rPr>
      </w:pPr>
    </w:p>
    <w:p w14:paraId="66A9D507">
      <w:pPr>
        <w:pStyle w:val="163"/>
        <w:rPr>
          <w:rFonts w:hAnsi="宋体"/>
          <w:color w:val="auto"/>
        </w:rPr>
      </w:pPr>
    </w:p>
    <w:p w14:paraId="420A0463">
      <w:pPr>
        <w:pStyle w:val="163"/>
        <w:rPr>
          <w:rFonts w:hAnsi="宋体"/>
          <w:color w:val="auto"/>
        </w:rPr>
      </w:pPr>
    </w:p>
    <w:p w14:paraId="7D564D3D">
      <w:pPr>
        <w:pStyle w:val="163"/>
        <w:rPr>
          <w:rFonts w:hAnsi="宋体"/>
          <w:color w:val="auto"/>
        </w:rPr>
      </w:pPr>
    </w:p>
    <w:p w14:paraId="22951D3E">
      <w:pPr>
        <w:widowControl/>
        <w:jc w:val="left"/>
        <w:rPr>
          <w:rFonts w:ascii="宋体" w:hAnsi="宋体"/>
          <w:color w:val="auto"/>
        </w:rPr>
      </w:pPr>
    </w:p>
    <w:p w14:paraId="3BDB6C4C">
      <w:pPr>
        <w:spacing w:line="360" w:lineRule="auto"/>
        <w:jc w:val="center"/>
        <w:rPr>
          <w:rFonts w:ascii="宋体" w:hAnsi="宋体"/>
          <w:b/>
          <w:color w:val="auto"/>
          <w:sz w:val="32"/>
          <w:szCs w:val="32"/>
        </w:rPr>
      </w:pPr>
    </w:p>
    <w:p w14:paraId="37CC0B96">
      <w:pPr>
        <w:widowControl/>
        <w:jc w:val="left"/>
        <w:rPr>
          <w:rFonts w:ascii="宋体" w:hAnsi="宋体"/>
          <w:b/>
          <w:color w:val="auto"/>
          <w:sz w:val="32"/>
          <w:szCs w:val="32"/>
        </w:rPr>
      </w:pPr>
      <w:r>
        <w:rPr>
          <w:rFonts w:ascii="宋体" w:hAnsi="宋体"/>
          <w:b/>
          <w:color w:val="auto"/>
          <w:sz w:val="32"/>
          <w:szCs w:val="32"/>
        </w:rPr>
        <w:br w:type="page"/>
      </w:r>
    </w:p>
    <w:p w14:paraId="71D29696">
      <w:pPr>
        <w:spacing w:line="360" w:lineRule="auto"/>
        <w:jc w:val="center"/>
        <w:rPr>
          <w:rFonts w:ascii="宋体" w:hAnsi="宋体"/>
          <w:b/>
          <w:color w:val="auto"/>
          <w:sz w:val="32"/>
          <w:szCs w:val="32"/>
        </w:rPr>
      </w:pPr>
      <w:r>
        <w:rPr>
          <w:rFonts w:hint="eastAsia" w:ascii="宋体" w:hAnsi="宋体"/>
          <w:b/>
          <w:color w:val="auto"/>
          <w:sz w:val="32"/>
          <w:szCs w:val="32"/>
        </w:rPr>
        <w:t>十</w:t>
      </w:r>
      <w:r>
        <w:rPr>
          <w:rFonts w:hint="eastAsia" w:ascii="宋体" w:hAnsi="宋体"/>
          <w:b/>
          <w:color w:val="auto"/>
          <w:sz w:val="32"/>
          <w:szCs w:val="32"/>
          <w:lang w:val="en-US" w:eastAsia="zh-CN"/>
        </w:rPr>
        <w:t>四</w:t>
      </w:r>
      <w:r>
        <w:rPr>
          <w:rFonts w:hint="eastAsia" w:ascii="宋体" w:hAnsi="宋体"/>
          <w:b/>
          <w:color w:val="auto"/>
          <w:sz w:val="32"/>
          <w:szCs w:val="32"/>
        </w:rPr>
        <w:t>、第</w:t>
      </w:r>
      <w:r>
        <w:rPr>
          <w:rFonts w:hint="eastAsia" w:ascii="宋体" w:hAnsi="宋体"/>
          <w:b/>
          <w:color w:val="auto"/>
          <w:sz w:val="32"/>
          <w:szCs w:val="32"/>
          <w:u w:val="single"/>
        </w:rPr>
        <w:t xml:space="preserve"> 二 </w:t>
      </w:r>
      <w:r>
        <w:rPr>
          <w:rFonts w:hint="eastAsia" w:ascii="宋体" w:hAnsi="宋体"/>
          <w:b/>
          <w:color w:val="auto"/>
          <w:sz w:val="32"/>
          <w:szCs w:val="32"/>
        </w:rPr>
        <w:t>轮报价表</w:t>
      </w:r>
    </w:p>
    <w:p w14:paraId="584E4C8F">
      <w:pPr>
        <w:pStyle w:val="163"/>
        <w:rPr>
          <w:rFonts w:hint="eastAsia" w:hAnsi="宋体" w:eastAsia="宋体"/>
          <w:color w:val="auto"/>
          <w:lang w:val="en-US" w:eastAsia="zh-CN"/>
        </w:rPr>
      </w:pPr>
      <w:r>
        <w:rPr>
          <w:rFonts w:hint="eastAsia" w:ascii="宋体" w:hAnsi="宋体"/>
          <w:color w:val="auto"/>
          <w:sz w:val="24"/>
        </w:rPr>
        <w:t>项目名称</w:t>
      </w:r>
      <w:r>
        <w:rPr>
          <w:rFonts w:hint="eastAsia" w:ascii="宋体" w:hAnsi="宋体"/>
          <w:color w:val="auto"/>
          <w:sz w:val="24"/>
          <w:lang w:eastAsia="zh-CN"/>
        </w:rPr>
        <w:t>：</w:t>
      </w:r>
    </w:p>
    <w:tbl>
      <w:tblPr>
        <w:tblStyle w:val="42"/>
        <w:tblW w:w="87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595"/>
        <w:gridCol w:w="2180"/>
        <w:gridCol w:w="2491"/>
      </w:tblGrid>
      <w:tr w14:paraId="2583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451" w:type="dxa"/>
            <w:vAlign w:val="center"/>
          </w:tcPr>
          <w:p w14:paraId="086C8A99">
            <w:pPr>
              <w:spacing w:line="240" w:lineRule="auto"/>
              <w:jc w:val="center"/>
              <w:rPr>
                <w:color w:val="auto"/>
                <w:sz w:val="24"/>
              </w:rPr>
            </w:pPr>
            <w:r>
              <w:rPr>
                <w:rFonts w:hint="eastAsia"/>
                <w:color w:val="auto"/>
                <w:sz w:val="24"/>
              </w:rPr>
              <w:t>序号</w:t>
            </w:r>
          </w:p>
        </w:tc>
        <w:tc>
          <w:tcPr>
            <w:tcW w:w="2595" w:type="dxa"/>
            <w:vAlign w:val="center"/>
          </w:tcPr>
          <w:p w14:paraId="543B957B">
            <w:pPr>
              <w:spacing w:line="240" w:lineRule="auto"/>
              <w:jc w:val="center"/>
              <w:rPr>
                <w:color w:val="auto"/>
                <w:sz w:val="24"/>
              </w:rPr>
            </w:pPr>
            <w:r>
              <w:rPr>
                <w:rFonts w:hint="eastAsia"/>
                <w:color w:val="auto"/>
                <w:sz w:val="24"/>
              </w:rPr>
              <w:t>货物（设备）名称</w:t>
            </w:r>
          </w:p>
        </w:tc>
        <w:tc>
          <w:tcPr>
            <w:tcW w:w="2180" w:type="dxa"/>
            <w:vAlign w:val="center"/>
          </w:tcPr>
          <w:p w14:paraId="05282BD1">
            <w:pPr>
              <w:spacing w:line="240" w:lineRule="auto"/>
              <w:jc w:val="center"/>
              <w:rPr>
                <w:color w:val="auto"/>
                <w:sz w:val="24"/>
              </w:rPr>
            </w:pPr>
            <w:r>
              <w:rPr>
                <w:rFonts w:hint="eastAsia"/>
                <w:color w:val="auto"/>
                <w:sz w:val="24"/>
              </w:rPr>
              <w:t>单价（元）</w:t>
            </w:r>
          </w:p>
        </w:tc>
        <w:tc>
          <w:tcPr>
            <w:tcW w:w="2491" w:type="dxa"/>
            <w:vAlign w:val="center"/>
          </w:tcPr>
          <w:p w14:paraId="157ABB71">
            <w:pPr>
              <w:spacing w:line="240" w:lineRule="auto"/>
              <w:ind w:left="355" w:hanging="355" w:hangingChars="148"/>
              <w:jc w:val="center"/>
              <w:rPr>
                <w:color w:val="auto"/>
                <w:sz w:val="24"/>
              </w:rPr>
            </w:pPr>
            <w:r>
              <w:rPr>
                <w:rFonts w:hint="eastAsia"/>
                <w:color w:val="auto"/>
                <w:sz w:val="24"/>
              </w:rPr>
              <w:t>备注</w:t>
            </w:r>
          </w:p>
        </w:tc>
      </w:tr>
      <w:tr w14:paraId="381D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451" w:type="dxa"/>
            <w:vAlign w:val="center"/>
          </w:tcPr>
          <w:p w14:paraId="1752A4EC">
            <w:pPr>
              <w:spacing w:line="240" w:lineRule="auto"/>
              <w:jc w:val="center"/>
              <w:rPr>
                <w:color w:val="auto"/>
                <w:sz w:val="24"/>
              </w:rPr>
            </w:pPr>
          </w:p>
        </w:tc>
        <w:tc>
          <w:tcPr>
            <w:tcW w:w="2595" w:type="dxa"/>
            <w:vAlign w:val="center"/>
          </w:tcPr>
          <w:p w14:paraId="6B4FE38C">
            <w:pPr>
              <w:spacing w:line="240" w:lineRule="auto"/>
              <w:jc w:val="center"/>
              <w:rPr>
                <w:color w:val="auto"/>
                <w:sz w:val="24"/>
              </w:rPr>
            </w:pPr>
          </w:p>
        </w:tc>
        <w:tc>
          <w:tcPr>
            <w:tcW w:w="2180" w:type="dxa"/>
            <w:vAlign w:val="center"/>
          </w:tcPr>
          <w:p w14:paraId="12336432">
            <w:pPr>
              <w:spacing w:line="240" w:lineRule="auto"/>
              <w:jc w:val="center"/>
              <w:rPr>
                <w:color w:val="auto"/>
                <w:sz w:val="24"/>
              </w:rPr>
            </w:pPr>
          </w:p>
        </w:tc>
        <w:tc>
          <w:tcPr>
            <w:tcW w:w="2491" w:type="dxa"/>
            <w:vAlign w:val="center"/>
          </w:tcPr>
          <w:p w14:paraId="00AB42C1">
            <w:pPr>
              <w:spacing w:line="240" w:lineRule="auto"/>
              <w:jc w:val="center"/>
              <w:rPr>
                <w:color w:val="auto"/>
                <w:sz w:val="24"/>
              </w:rPr>
            </w:pPr>
          </w:p>
        </w:tc>
      </w:tr>
      <w:tr w14:paraId="387C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451" w:type="dxa"/>
            <w:vAlign w:val="center"/>
          </w:tcPr>
          <w:p w14:paraId="1F0D3645">
            <w:pPr>
              <w:spacing w:line="240" w:lineRule="auto"/>
              <w:jc w:val="center"/>
              <w:rPr>
                <w:color w:val="auto"/>
                <w:sz w:val="24"/>
              </w:rPr>
            </w:pPr>
          </w:p>
        </w:tc>
        <w:tc>
          <w:tcPr>
            <w:tcW w:w="2595" w:type="dxa"/>
            <w:vAlign w:val="center"/>
          </w:tcPr>
          <w:p w14:paraId="5CABF4BE">
            <w:pPr>
              <w:spacing w:line="240" w:lineRule="auto"/>
              <w:jc w:val="center"/>
              <w:rPr>
                <w:color w:val="auto"/>
                <w:sz w:val="24"/>
              </w:rPr>
            </w:pPr>
          </w:p>
        </w:tc>
        <w:tc>
          <w:tcPr>
            <w:tcW w:w="2180" w:type="dxa"/>
            <w:vAlign w:val="center"/>
          </w:tcPr>
          <w:p w14:paraId="1D0AE52B">
            <w:pPr>
              <w:spacing w:line="240" w:lineRule="auto"/>
              <w:jc w:val="center"/>
              <w:rPr>
                <w:color w:val="auto"/>
                <w:sz w:val="24"/>
              </w:rPr>
            </w:pPr>
          </w:p>
        </w:tc>
        <w:tc>
          <w:tcPr>
            <w:tcW w:w="2491" w:type="dxa"/>
            <w:vAlign w:val="center"/>
          </w:tcPr>
          <w:p w14:paraId="7160BDFB">
            <w:pPr>
              <w:spacing w:line="240" w:lineRule="auto"/>
              <w:jc w:val="center"/>
              <w:rPr>
                <w:color w:val="auto"/>
                <w:sz w:val="24"/>
              </w:rPr>
            </w:pPr>
          </w:p>
        </w:tc>
      </w:tr>
      <w:tr w14:paraId="4941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51" w:type="dxa"/>
            <w:vAlign w:val="center"/>
          </w:tcPr>
          <w:p w14:paraId="4853D35D">
            <w:pPr>
              <w:spacing w:line="240" w:lineRule="auto"/>
              <w:jc w:val="center"/>
              <w:rPr>
                <w:rFonts w:hint="eastAsia" w:eastAsia="宋体"/>
                <w:color w:val="auto"/>
                <w:sz w:val="24"/>
                <w:lang w:eastAsia="zh-CN"/>
              </w:rPr>
            </w:pPr>
            <w:r>
              <w:rPr>
                <w:rFonts w:hint="eastAsia"/>
                <w:color w:val="auto"/>
                <w:sz w:val="24"/>
                <w:lang w:eastAsia="zh-CN"/>
              </w:rPr>
              <w:t>……</w:t>
            </w:r>
          </w:p>
        </w:tc>
        <w:tc>
          <w:tcPr>
            <w:tcW w:w="2595" w:type="dxa"/>
            <w:vAlign w:val="center"/>
          </w:tcPr>
          <w:p w14:paraId="2E2E6569">
            <w:pPr>
              <w:spacing w:line="240" w:lineRule="auto"/>
              <w:jc w:val="center"/>
              <w:rPr>
                <w:color w:val="auto"/>
                <w:sz w:val="24"/>
              </w:rPr>
            </w:pPr>
          </w:p>
        </w:tc>
        <w:tc>
          <w:tcPr>
            <w:tcW w:w="2180" w:type="dxa"/>
            <w:vAlign w:val="center"/>
          </w:tcPr>
          <w:p w14:paraId="240FECCD">
            <w:pPr>
              <w:spacing w:line="240" w:lineRule="auto"/>
              <w:jc w:val="center"/>
              <w:rPr>
                <w:color w:val="auto"/>
                <w:sz w:val="24"/>
              </w:rPr>
            </w:pPr>
          </w:p>
        </w:tc>
        <w:tc>
          <w:tcPr>
            <w:tcW w:w="2491" w:type="dxa"/>
            <w:vAlign w:val="center"/>
          </w:tcPr>
          <w:p w14:paraId="360A39EF">
            <w:pPr>
              <w:spacing w:line="240" w:lineRule="auto"/>
              <w:jc w:val="center"/>
              <w:rPr>
                <w:color w:val="auto"/>
                <w:sz w:val="24"/>
              </w:rPr>
            </w:pPr>
          </w:p>
        </w:tc>
      </w:tr>
      <w:tr w14:paraId="32E7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717" w:type="dxa"/>
            <w:gridSpan w:val="4"/>
            <w:vAlign w:val="center"/>
          </w:tcPr>
          <w:p w14:paraId="5D623FD7">
            <w:pPr>
              <w:spacing w:line="240" w:lineRule="auto"/>
              <w:jc w:val="left"/>
              <w:rPr>
                <w:color w:val="auto"/>
                <w:sz w:val="24"/>
              </w:rPr>
            </w:pPr>
            <w:r>
              <w:rPr>
                <w:rFonts w:hint="eastAsia"/>
                <w:color w:val="auto"/>
                <w:sz w:val="24"/>
                <w:lang w:val="en-US" w:eastAsia="zh-CN"/>
              </w:rPr>
              <w:t>下浮比例：XX.XX%（保留2位小数）</w:t>
            </w:r>
          </w:p>
        </w:tc>
      </w:tr>
    </w:tbl>
    <w:p w14:paraId="0DD9B78F">
      <w:pPr>
        <w:pStyle w:val="163"/>
        <w:rPr>
          <w:rFonts w:hAnsi="宋体"/>
          <w:color w:val="auto"/>
        </w:rPr>
      </w:pPr>
    </w:p>
    <w:p w14:paraId="7B3C4001">
      <w:pPr>
        <w:adjustRightInd w:val="0"/>
        <w:spacing w:line="360" w:lineRule="auto"/>
        <w:ind w:firstLine="480" w:firstLineChars="200"/>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p>
    <w:p w14:paraId="7DCAACBD">
      <w:pPr>
        <w:adjustRightInd w:val="0"/>
        <w:spacing w:line="360" w:lineRule="auto"/>
        <w:ind w:firstLine="480" w:firstLineChars="200"/>
        <w:jc w:val="left"/>
        <w:rPr>
          <w:rFonts w:ascii="宋体" w:hAnsi="宋体"/>
          <w:color w:val="auto"/>
          <w:sz w:val="24"/>
        </w:rPr>
      </w:pPr>
      <w:r>
        <w:rPr>
          <w:rFonts w:hint="eastAsia" w:ascii="宋体" w:hAnsi="宋体"/>
          <w:color w:val="auto"/>
          <w:sz w:val="24"/>
        </w:rPr>
        <w:t>法定代表人/单位负责人或授权代表（签字）：</w:t>
      </w:r>
      <w:r>
        <w:rPr>
          <w:rFonts w:hint="eastAsia" w:ascii="宋体" w:hAnsi="宋体"/>
          <w:color w:val="auto"/>
          <w:sz w:val="24"/>
          <w:u w:val="single"/>
        </w:rPr>
        <w:t xml:space="preserve">               </w:t>
      </w:r>
    </w:p>
    <w:p w14:paraId="2DB9AFB6">
      <w:pPr>
        <w:pStyle w:val="12"/>
        <w:spacing w:line="360" w:lineRule="auto"/>
        <w:ind w:firstLine="480"/>
        <w:rPr>
          <w:rFonts w:ascii="宋体" w:hAnsi="宋体"/>
          <w:color w:val="auto"/>
          <w:u w:val="single"/>
        </w:rPr>
      </w:pPr>
      <w:r>
        <w:rPr>
          <w:rFonts w:hint="eastAsia" w:ascii="宋体" w:hAnsi="宋体"/>
          <w:color w:val="auto"/>
        </w:rPr>
        <w:t>日期：</w:t>
      </w:r>
      <w:r>
        <w:rPr>
          <w:rFonts w:hint="eastAsia" w:ascii="宋体" w:hAnsi="宋体"/>
          <w:color w:val="auto"/>
          <w:u w:val="single"/>
        </w:rPr>
        <w:t xml:space="preserve">                 </w:t>
      </w:r>
    </w:p>
    <w:p w14:paraId="09683F84">
      <w:pPr>
        <w:pStyle w:val="163"/>
        <w:rPr>
          <w:rFonts w:hAnsi="宋体"/>
          <w:color w:val="auto"/>
        </w:rPr>
      </w:pPr>
    </w:p>
    <w:p w14:paraId="64034FF9">
      <w:pPr>
        <w:pStyle w:val="163"/>
        <w:rPr>
          <w:rFonts w:hAnsi="宋体"/>
          <w:color w:val="auto"/>
        </w:rPr>
      </w:pPr>
    </w:p>
    <w:p w14:paraId="724CF0E0">
      <w:pPr>
        <w:pStyle w:val="163"/>
        <w:rPr>
          <w:rFonts w:hAnsi="宋体"/>
          <w:color w:val="auto"/>
        </w:rPr>
      </w:pPr>
    </w:p>
    <w:p w14:paraId="6180AD3B">
      <w:pPr>
        <w:spacing w:line="400" w:lineRule="exact"/>
        <w:rPr>
          <w:rFonts w:ascii="宋体" w:hAnsi="宋体" w:cs="宋体"/>
          <w:color w:val="auto"/>
          <w:sz w:val="24"/>
        </w:rPr>
      </w:pPr>
      <w:r>
        <w:rPr>
          <w:rFonts w:hint="eastAsia" w:ascii="宋体" w:hAnsi="宋体" w:cs="宋体"/>
          <w:color w:val="auto"/>
          <w:sz w:val="24"/>
        </w:rPr>
        <w:t>注：</w:t>
      </w:r>
    </w:p>
    <w:p w14:paraId="2BC2FF1A">
      <w:pPr>
        <w:spacing w:line="400" w:lineRule="exact"/>
        <w:rPr>
          <w:rFonts w:ascii="宋体" w:hAnsi="宋体" w:cs="宋体"/>
          <w:color w:val="auto"/>
          <w:sz w:val="24"/>
        </w:rPr>
      </w:pPr>
      <w:r>
        <w:rPr>
          <w:rFonts w:hint="eastAsia" w:ascii="宋体" w:hAnsi="宋体" w:cs="宋体"/>
          <w:color w:val="auto"/>
          <w:sz w:val="24"/>
        </w:rPr>
        <w:t>1、</w:t>
      </w:r>
      <w:r>
        <w:rPr>
          <w:rFonts w:hint="eastAsia" w:ascii="宋体" w:hAnsi="宋体" w:cs="宋体"/>
          <w:b/>
          <w:color w:val="auto"/>
          <w:sz w:val="24"/>
        </w:rPr>
        <w:t>第</w:t>
      </w:r>
      <w:r>
        <w:rPr>
          <w:rFonts w:hint="eastAsia" w:ascii="宋体" w:hAnsi="宋体" w:cs="宋体"/>
          <w:b/>
          <w:color w:val="auto"/>
          <w:sz w:val="24"/>
          <w:u w:val="single"/>
        </w:rPr>
        <w:t xml:space="preserve"> 二 </w:t>
      </w:r>
      <w:r>
        <w:rPr>
          <w:rFonts w:hint="eastAsia" w:ascii="宋体" w:hAnsi="宋体" w:cs="宋体"/>
          <w:b/>
          <w:color w:val="auto"/>
          <w:sz w:val="24"/>
        </w:rPr>
        <w:t>轮报价表不需要封装在响应文件中</w:t>
      </w:r>
      <w:r>
        <w:rPr>
          <w:rFonts w:hint="eastAsia" w:ascii="宋体" w:hAnsi="宋体" w:cs="宋体"/>
          <w:color w:val="auto"/>
          <w:sz w:val="24"/>
        </w:rPr>
        <w:t>；</w:t>
      </w:r>
    </w:p>
    <w:p w14:paraId="7D123003">
      <w:pPr>
        <w:spacing w:line="400" w:lineRule="exact"/>
        <w:rPr>
          <w:rFonts w:ascii="宋体" w:hAnsi="宋体" w:cs="宋体"/>
          <w:color w:val="auto"/>
          <w:sz w:val="24"/>
        </w:rPr>
      </w:pPr>
      <w:r>
        <w:rPr>
          <w:rFonts w:hint="eastAsia" w:ascii="宋体" w:hAnsi="宋体" w:cs="宋体"/>
          <w:color w:val="auto"/>
          <w:sz w:val="24"/>
        </w:rPr>
        <w:t>2、第</w:t>
      </w:r>
      <w:r>
        <w:rPr>
          <w:rFonts w:hint="eastAsia" w:ascii="宋体" w:hAnsi="宋体" w:cs="宋体"/>
          <w:color w:val="auto"/>
          <w:sz w:val="24"/>
          <w:u w:val="single"/>
        </w:rPr>
        <w:t xml:space="preserve"> 二 </w:t>
      </w:r>
      <w:r>
        <w:rPr>
          <w:rFonts w:hint="eastAsia" w:ascii="宋体" w:hAnsi="宋体" w:cs="宋体"/>
          <w:color w:val="auto"/>
          <w:sz w:val="24"/>
        </w:rPr>
        <w:t>轮报价表是谈判结束后，供应商填写，由法定代表人/单位负责人或授权代表签字后密封递交给采购代理机构工作人员，由其收集齐后集中递交谈判小组；</w:t>
      </w:r>
    </w:p>
    <w:p w14:paraId="3B6E4E47">
      <w:pPr>
        <w:spacing w:line="400" w:lineRule="exact"/>
        <w:rPr>
          <w:rFonts w:ascii="宋体" w:hAnsi="宋体" w:cs="宋体"/>
          <w:color w:val="auto"/>
          <w:sz w:val="24"/>
        </w:rPr>
      </w:pPr>
      <w:r>
        <w:rPr>
          <w:rFonts w:hint="eastAsia" w:ascii="宋体" w:hAnsi="宋体" w:cs="宋体"/>
          <w:color w:val="auto"/>
          <w:sz w:val="24"/>
        </w:rPr>
        <w:t>3、第</w:t>
      </w:r>
      <w:r>
        <w:rPr>
          <w:rFonts w:hint="eastAsia" w:ascii="宋体" w:hAnsi="宋体" w:cs="宋体"/>
          <w:color w:val="auto"/>
          <w:sz w:val="24"/>
          <w:u w:val="single"/>
        </w:rPr>
        <w:t xml:space="preserve"> 二 </w:t>
      </w:r>
      <w:r>
        <w:rPr>
          <w:rFonts w:hint="eastAsia" w:ascii="宋体" w:hAnsi="宋体" w:cs="宋体"/>
          <w:color w:val="auto"/>
          <w:sz w:val="24"/>
        </w:rPr>
        <w:t>轮报价表供应商可在要求报价时手工填写，也可提前填写；</w:t>
      </w:r>
    </w:p>
    <w:p w14:paraId="6ED0460B">
      <w:pPr>
        <w:rPr>
          <w:color w:val="auto"/>
          <w:sz w:val="32"/>
          <w:szCs w:val="32"/>
        </w:rPr>
      </w:pPr>
      <w:r>
        <w:rPr>
          <w:rFonts w:hint="eastAsia" w:ascii="宋体" w:hAnsi="宋体" w:cs="宋体"/>
          <w:color w:val="auto"/>
          <w:sz w:val="24"/>
        </w:rPr>
        <w:t>4、第</w:t>
      </w:r>
      <w:r>
        <w:rPr>
          <w:rFonts w:hint="eastAsia" w:ascii="宋体" w:hAnsi="宋体" w:cs="宋体"/>
          <w:color w:val="auto"/>
          <w:sz w:val="24"/>
          <w:u w:val="single"/>
        </w:rPr>
        <w:t xml:space="preserve"> 二 </w:t>
      </w:r>
      <w:r>
        <w:rPr>
          <w:rFonts w:hint="eastAsia" w:ascii="宋体" w:hAnsi="宋体" w:cs="宋体"/>
          <w:color w:val="auto"/>
          <w:sz w:val="24"/>
        </w:rPr>
        <w:t>轮报价包括谈判文件规定的全部相应内容的报价，</w:t>
      </w:r>
      <w:r>
        <w:rPr>
          <w:rFonts w:hint="eastAsia" w:ascii="宋体" w:hAnsi="宋体" w:cs="宋体"/>
          <w:color w:val="auto"/>
          <w:sz w:val="24"/>
          <w:lang w:val="en-US" w:eastAsia="zh-CN"/>
        </w:rPr>
        <w:t>单价保留2位小数</w:t>
      </w:r>
      <w:bookmarkStart w:id="109" w:name="_GoBack"/>
      <w:bookmarkEnd w:id="109"/>
      <w:r>
        <w:rPr>
          <w:rFonts w:hint="eastAsia" w:ascii="宋体" w:hAnsi="宋体" w:cs="宋体"/>
          <w:color w:val="auto"/>
          <w:sz w:val="24"/>
        </w:rPr>
        <w:t>。</w:t>
      </w:r>
    </w:p>
    <w:bookmarkEnd w:id="21"/>
    <w:bookmarkEnd w:id="84"/>
    <w:bookmarkEnd w:id="85"/>
    <w:bookmarkEnd w:id="86"/>
    <w:p w14:paraId="4BF3C3F2">
      <w:pPr>
        <w:pStyle w:val="38"/>
        <w:rPr>
          <w:rFonts w:ascii="仿宋" w:hAnsi="仿宋" w:eastAsia="仿宋" w:cs="Times New Roman"/>
          <w:color w:val="auto"/>
        </w:rPr>
      </w:pPr>
      <w:bookmarkStart w:id="100" w:name="PO_默认文件内容_28"/>
      <w:r>
        <w:rPr>
          <w:rFonts w:hint="eastAsia" w:ascii="仿宋" w:hAnsi="仿宋" w:eastAsia="仿宋" w:cs="仿宋"/>
          <w:color w:val="auto"/>
        </w:rPr>
        <w:br w:type="page"/>
      </w:r>
      <w:r>
        <w:rPr>
          <w:rFonts w:hint="eastAsia" w:ascii="仿宋" w:hAnsi="仿宋" w:eastAsia="仿宋" w:cs="仿宋"/>
          <w:color w:val="auto"/>
        </w:rPr>
        <w:t>第八章评审方法</w:t>
      </w:r>
    </w:p>
    <w:p w14:paraId="3C13DEBB">
      <w:pPr>
        <w:pStyle w:val="3"/>
        <w:keepNext w:val="0"/>
        <w:keepLines w:val="0"/>
        <w:spacing w:before="0" w:after="0" w:line="360" w:lineRule="auto"/>
        <w:ind w:firstLine="472" w:firstLineChars="196"/>
        <w:rPr>
          <w:rFonts w:ascii="仿宋" w:hAnsi="仿宋" w:eastAsia="仿宋" w:cs="Times New Roman"/>
          <w:color w:val="auto"/>
          <w:sz w:val="24"/>
          <w:szCs w:val="24"/>
        </w:rPr>
      </w:pPr>
      <w:bookmarkStart w:id="101" w:name="_Toc101338358"/>
      <w:bookmarkStart w:id="102" w:name="_Toc209847065"/>
      <w:bookmarkStart w:id="103" w:name="_Toc101250640"/>
      <w:bookmarkStart w:id="104" w:name="_Toc101174146"/>
      <w:bookmarkStart w:id="105" w:name="_Toc430773924"/>
    </w:p>
    <w:p w14:paraId="5EE7DE77">
      <w:pPr>
        <w:pStyle w:val="3"/>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总则</w:t>
      </w:r>
    </w:p>
    <w:p w14:paraId="223BB2C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1.1 </w:t>
      </w:r>
      <w:r>
        <w:rPr>
          <w:rFonts w:hint="eastAsia" w:ascii="仿宋" w:hAnsi="仿宋" w:eastAsia="仿宋" w:cs="仿宋"/>
          <w:b w:val="0"/>
          <w:bCs w:val="0"/>
          <w:color w:val="auto"/>
          <w:sz w:val="24"/>
          <w:szCs w:val="24"/>
        </w:rPr>
        <w:t>根据《中华人民共和国政府采购法》、《中华人民共和国政府采购法实施条例》、《政府采购非招标采购方式管理办法》等法律制度，结合本采购项目特点制定本次谈判采购评审方法。</w:t>
      </w:r>
    </w:p>
    <w:p w14:paraId="3B67459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1.2 </w:t>
      </w:r>
      <w:r>
        <w:rPr>
          <w:rFonts w:hint="eastAsia" w:ascii="仿宋" w:hAnsi="仿宋" w:eastAsia="仿宋" w:cs="仿宋"/>
          <w:b w:val="0"/>
          <w:bCs w:val="0"/>
          <w:color w:val="auto"/>
          <w:sz w:val="24"/>
          <w:szCs w:val="24"/>
        </w:rPr>
        <w:t>谈判工作由采购人、采购代理机构负责组织，具体谈判由采购人自行组建的谈判小组负责。</w:t>
      </w:r>
    </w:p>
    <w:p w14:paraId="31E3C13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1.3 </w:t>
      </w:r>
      <w:r>
        <w:rPr>
          <w:rFonts w:hint="eastAsia" w:ascii="仿宋" w:hAnsi="仿宋" w:eastAsia="仿宋" w:cs="仿宋"/>
          <w:b w:val="0"/>
          <w:bCs w:val="0"/>
          <w:color w:val="auto"/>
          <w:sz w:val="24"/>
          <w:szCs w:val="24"/>
        </w:rPr>
        <w:t>谈判工作应遵循公平、公正、科学及择优的原则，并以相同的谈判程序和标准对待所有的供应商。</w:t>
      </w:r>
    </w:p>
    <w:p w14:paraId="6295CE3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1.4 </w:t>
      </w:r>
      <w:r>
        <w:rPr>
          <w:rFonts w:hint="eastAsia" w:ascii="仿宋" w:hAnsi="仿宋" w:eastAsia="仿宋" w:cs="仿宋"/>
          <w:b w:val="0"/>
          <w:bCs w:val="0"/>
          <w:color w:val="auto"/>
          <w:sz w:val="24"/>
          <w:szCs w:val="24"/>
        </w:rPr>
        <w:t>谈判小组按照谈判文件规定的谈判程序进行评审，并独立履行下列职责：</w:t>
      </w:r>
    </w:p>
    <w:p w14:paraId="7479813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（一）熟悉和理解谈判文件，确定谈判文件内容是否违反国家有关强制性规定或者谈判文件存在歧义、重大缺陷，根据需要书面要求采购人、采购代理机构对谈判文件作出解释；</w:t>
      </w:r>
    </w:p>
    <w:p w14:paraId="5E10D91F">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（二）审查供应商响应文件是否满足谈判文件要求，并作出公正评价；</w:t>
      </w:r>
    </w:p>
    <w:p w14:paraId="0F9B6BDE">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（三）根据需要要求供应商对响应文件中含义不明确、同类问题表述不一致或者有明显文字和计算错误的内容等作出必要的澄清、说明或者更正；</w:t>
      </w:r>
    </w:p>
    <w:p w14:paraId="6F8BDD18">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（四）推荐成交供应商，或者受采购人委托确定成交供应商；</w:t>
      </w:r>
    </w:p>
    <w:p w14:paraId="6CB1006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（五）起草评审报告并进行签署；</w:t>
      </w:r>
    </w:p>
    <w:p w14:paraId="69FC7080">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（六）向采购人、采购代理机构、财政部门或者其他监督部门报告非法干预评审工作的行为；</w:t>
      </w:r>
    </w:p>
    <w:p w14:paraId="087F243B">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（七）法律、法规和规章规定的其他职责。</w:t>
      </w:r>
    </w:p>
    <w:p w14:paraId="19AC093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1.5</w:t>
      </w:r>
      <w:r>
        <w:rPr>
          <w:rFonts w:hint="eastAsia" w:ascii="仿宋" w:hAnsi="仿宋" w:eastAsia="仿宋" w:cs="仿宋"/>
          <w:b w:val="0"/>
          <w:bCs w:val="0"/>
          <w:color w:val="auto"/>
          <w:sz w:val="24"/>
          <w:szCs w:val="24"/>
        </w:rPr>
        <w:t>谈判过程独立、保密。供应商非法干预谈判过程的，其响应文件作无效处理。</w:t>
      </w:r>
    </w:p>
    <w:p w14:paraId="119BACCB">
      <w:pPr>
        <w:spacing w:line="360" w:lineRule="auto"/>
        <w:ind w:firstLine="413"/>
        <w:rPr>
          <w:rFonts w:ascii="仿宋" w:hAnsi="仿宋" w:eastAsia="仿宋"/>
          <w:color w:val="auto"/>
        </w:rPr>
      </w:pPr>
    </w:p>
    <w:p w14:paraId="64E9F8EF">
      <w:pPr>
        <w:pStyle w:val="3"/>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谈判程序</w:t>
      </w:r>
    </w:p>
    <w:p w14:paraId="4FF1089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2.1</w:t>
      </w:r>
      <w:r>
        <w:rPr>
          <w:rFonts w:hint="eastAsia" w:ascii="仿宋" w:hAnsi="仿宋" w:eastAsia="仿宋" w:cs="仿宋"/>
          <w:b w:val="0"/>
          <w:bCs w:val="0"/>
          <w:color w:val="auto"/>
          <w:sz w:val="24"/>
          <w:szCs w:val="24"/>
        </w:rPr>
        <w:t>审查谈判文件和停止评审。</w:t>
      </w:r>
    </w:p>
    <w:p w14:paraId="21910A3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2.1.1 </w:t>
      </w:r>
      <w:r>
        <w:rPr>
          <w:rFonts w:hint="eastAsia" w:ascii="仿宋" w:hAnsi="仿宋" w:eastAsia="仿宋" w:cs="仿宋"/>
          <w:b w:val="0"/>
          <w:bCs w:val="0"/>
          <w:color w:val="auto"/>
          <w:sz w:val="24"/>
          <w:szCs w:val="24"/>
        </w:rPr>
        <w:t>谈判小组正式评审前，应当对谈判文件进行熟悉和理解，内容主要包括谈判文件中供应商资格条件要求、采购项目技术、服务和商务要求、谈判办法和标准、政府采购政策要求以及政府采购合同主要条款等。</w:t>
      </w:r>
    </w:p>
    <w:p w14:paraId="442B6E3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2.1.2 </w:t>
      </w:r>
      <w:r>
        <w:rPr>
          <w:rFonts w:hint="eastAsia" w:ascii="仿宋" w:hAnsi="仿宋" w:eastAsia="仿宋" w:cs="仿宋"/>
          <w:b w:val="0"/>
          <w:bCs w:val="0"/>
          <w:color w:val="auto"/>
          <w:sz w:val="24"/>
          <w:szCs w:val="24"/>
        </w:rPr>
        <w:t>本谈判文件有下列情形之一的，谈判小组应当停止评审：</w:t>
      </w:r>
    </w:p>
    <w:p w14:paraId="143258A9">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）谈判文件的规定存在歧义、重大缺陷，导致评审无法进行的；</w:t>
      </w:r>
    </w:p>
    <w:p w14:paraId="39C21A1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）谈判文件明显以不合理条件对供应商实行差别待遇或者歧视待遇的；</w:t>
      </w:r>
    </w:p>
    <w:p w14:paraId="3C8CCD4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）采购项目属于国家规定的优先、强制采购范围，但是谈判文件未依法体现优先、强制采购相关规定的；</w:t>
      </w:r>
    </w:p>
    <w:p w14:paraId="29EF545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）采购项目属于政府采购促进中小企业发展的范围，但是谈判文件未依法体现促进中小企业发展相关规定的；</w:t>
      </w:r>
    </w:p>
    <w:p w14:paraId="5C15E12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）谈判文件载明的成交原则不合法的；</w:t>
      </w:r>
    </w:p>
    <w:p w14:paraId="5471444F">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6</w:t>
      </w:r>
      <w:r>
        <w:rPr>
          <w:rFonts w:hint="eastAsia" w:ascii="仿宋" w:hAnsi="仿宋" w:eastAsia="仿宋" w:cs="仿宋"/>
          <w:b w:val="0"/>
          <w:bCs w:val="0"/>
          <w:color w:val="auto"/>
          <w:sz w:val="24"/>
          <w:szCs w:val="24"/>
        </w:rPr>
        <w:t>）谈判文件有违反国家其他有关强制性规定的情形。</w:t>
      </w:r>
    </w:p>
    <w:p w14:paraId="0B4A4A3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2.1.3 </w:t>
      </w:r>
      <w:r>
        <w:rPr>
          <w:rFonts w:hint="eastAsia" w:ascii="仿宋" w:hAnsi="仿宋" w:eastAsia="仿宋" w:cs="仿宋"/>
          <w:b w:val="0"/>
          <w:bCs w:val="0"/>
          <w:color w:val="auto"/>
          <w:sz w:val="24"/>
          <w:szCs w:val="24"/>
        </w:rPr>
        <w:t>出现本条</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规定应当停止评审情形的，谈判小组应当向采购组织单位书面书面说明情况。除</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规定的情形外，谈判小组不得以任何方式和理由停止评审。</w:t>
      </w:r>
    </w:p>
    <w:p w14:paraId="10AC0358">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w:t>
      </w:r>
      <w:r>
        <w:rPr>
          <w:rFonts w:hint="eastAsia" w:ascii="仿宋" w:hAnsi="仿宋" w:eastAsia="仿宋" w:cs="仿宋"/>
          <w:b w:val="0"/>
          <w:bCs w:val="0"/>
          <w:color w:val="auto"/>
          <w:sz w:val="24"/>
          <w:szCs w:val="24"/>
        </w:rPr>
        <w:t>谈判。</w:t>
      </w:r>
    </w:p>
    <w:p w14:paraId="6B07A53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2.2.1</w:t>
      </w:r>
      <w:r>
        <w:rPr>
          <w:rFonts w:hint="eastAsia" w:ascii="仿宋" w:hAnsi="仿宋" w:eastAsia="仿宋" w:cs="仿宋"/>
          <w:b w:val="0"/>
          <w:bCs w:val="0"/>
          <w:color w:val="auto"/>
          <w:sz w:val="24"/>
          <w:szCs w:val="24"/>
        </w:rPr>
        <w:t>谈判小组所有成员集中与单一供应商分别进行一轮谈判，并给予所有参加谈判的供应商平等的谈判机会。谈判顺序以现场抽签的方式确定。谈判过程中，谈判小组可以根据谈判情况调整谈判轮次。</w:t>
      </w:r>
    </w:p>
    <w:p w14:paraId="7BD4972D">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2.2.2</w:t>
      </w:r>
      <w:r>
        <w:rPr>
          <w:rFonts w:hint="eastAsia" w:ascii="仿宋" w:hAnsi="仿宋" w:eastAsia="仿宋" w:cs="仿宋"/>
          <w:b w:val="0"/>
          <w:bCs w:val="0"/>
          <w:color w:val="auto"/>
          <w:sz w:val="24"/>
          <w:szCs w:val="24"/>
        </w:rPr>
        <w:t>每轮谈判开始前，谈判小组应根据谈判文件的规定，并结合各供应商的响应文件拟定谈判内容。</w:t>
      </w:r>
    </w:p>
    <w:p w14:paraId="64DDFEB2">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2.2.3</w:t>
      </w:r>
      <w:r>
        <w:rPr>
          <w:rFonts w:hint="eastAsia" w:ascii="仿宋" w:hAnsi="仿宋" w:eastAsia="仿宋" w:cs="仿宋"/>
          <w:b w:val="0"/>
          <w:bCs w:val="0"/>
          <w:color w:val="auto"/>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14:paraId="4832D29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2.2.4</w:t>
      </w:r>
      <w:r>
        <w:rPr>
          <w:rFonts w:hint="eastAsia" w:ascii="仿宋" w:hAnsi="仿宋" w:eastAsia="仿宋" w:cs="仿宋"/>
          <w:b w:val="0"/>
          <w:bCs w:val="0"/>
          <w:color w:val="auto"/>
          <w:sz w:val="24"/>
          <w:szCs w:val="24"/>
        </w:rPr>
        <w:t>对谈判文件作出的实质性变动是谈判文件的有效组成部分，谈判小组应当及时以书面形式同时通知所有参加谈判的供应商。</w:t>
      </w:r>
    </w:p>
    <w:p w14:paraId="1EF4276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2.2.5</w:t>
      </w:r>
      <w:r>
        <w:rPr>
          <w:rFonts w:hint="eastAsia" w:ascii="仿宋" w:hAnsi="仿宋" w:eastAsia="仿宋" w:cs="仿宋"/>
          <w:b w:val="0"/>
          <w:bCs w:val="0"/>
          <w:color w:val="auto"/>
          <w:sz w:val="24"/>
          <w:szCs w:val="24"/>
        </w:rPr>
        <w:t>谈判过程中，谈判文件变动的，供应商应当按照谈判文件的变动情况和谈判小组的要求重新提交响应文件，并由其法定代表人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主要负责人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7E8FE3A5">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w:t>
      </w:r>
      <w:r>
        <w:rPr>
          <w:rFonts w:hint="eastAsia" w:ascii="仿宋" w:hAnsi="仿宋" w:eastAsia="仿宋" w:cs="仿宋"/>
          <w:color w:val="auto"/>
          <w:sz w:val="24"/>
          <w:szCs w:val="24"/>
          <w:lang w:val="zh-CN"/>
        </w:rPr>
        <w:t>有效性、完整性和响应程度审查</w:t>
      </w:r>
    </w:p>
    <w:p w14:paraId="2F0BFA9A">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2.2.6.1</w:t>
      </w:r>
      <w:r>
        <w:rPr>
          <w:rFonts w:hint="eastAsia" w:ascii="仿宋" w:hAnsi="仿宋" w:eastAsia="仿宋" w:cs="仿宋"/>
          <w:color w:val="auto"/>
          <w:sz w:val="24"/>
          <w:szCs w:val="24"/>
        </w:rPr>
        <w:t>谈判过程中，</w:t>
      </w:r>
      <w:r>
        <w:rPr>
          <w:rFonts w:hint="eastAsia" w:ascii="仿宋" w:hAnsi="仿宋" w:eastAsia="仿宋" w:cs="仿宋"/>
          <w:color w:val="auto"/>
          <w:sz w:val="24"/>
          <w:szCs w:val="24"/>
          <w:lang w:val="zh-CN"/>
        </w:rPr>
        <w:t>谈判小组对供应商首次递交的响应文件进行审查，审查中发现供应商首次响应文件有下列情况之一的，应按照无效响应文件处理：</w:t>
      </w:r>
    </w:p>
    <w:p w14:paraId="1775E301">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）响应文件的语言、报价货币、知识产权、响应文件有效期不符合采购文件的规定，影响谈判小组评判的；</w:t>
      </w:r>
    </w:p>
    <w:p w14:paraId="364DC195">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）响应文件中未附已标价工程量清单。</w:t>
      </w:r>
    </w:p>
    <w:p w14:paraId="00741070">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lang w:val="zh-CN"/>
        </w:rPr>
        <w:t>2.4.6.2</w:t>
      </w:r>
      <w:r>
        <w:rPr>
          <w:rFonts w:hint="eastAsia" w:ascii="仿宋" w:hAnsi="仿宋" w:eastAsia="仿宋" w:cs="仿宋"/>
          <w:color w:val="auto"/>
          <w:sz w:val="24"/>
          <w:szCs w:val="24"/>
          <w:lang w:val="zh-CN"/>
        </w:rPr>
        <w:t>经最终谈判后，响应文件仍有下列情况之一的，应按照无效响应文件处理：</w:t>
      </w:r>
    </w:p>
    <w:p w14:paraId="1B88D321">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响应文件仍不能实质响应采购文件的实质性要求的；</w:t>
      </w:r>
    </w:p>
    <w:p w14:paraId="2831E816">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）响应文件仍中有谈判文件规定的其他无效响应情形的。</w:t>
      </w:r>
    </w:p>
    <w:p w14:paraId="4881003F">
      <w:pPr>
        <w:pStyle w:val="22"/>
        <w:snapToGrid w:val="0"/>
        <w:spacing w:line="360" w:lineRule="auto"/>
        <w:ind w:firstLine="480" w:firstLineChars="200"/>
        <w:rPr>
          <w:rFonts w:ascii="仿宋" w:hAnsi="仿宋" w:eastAsia="仿宋" w:cs="Times New Roman"/>
          <w:color w:val="auto"/>
          <w:sz w:val="24"/>
          <w:szCs w:val="24"/>
          <w:lang w:val="zh-CN"/>
        </w:rPr>
      </w:pPr>
      <w:r>
        <w:rPr>
          <w:rFonts w:ascii="仿宋" w:hAnsi="仿宋" w:eastAsia="仿宋" w:cs="仿宋"/>
          <w:color w:val="auto"/>
          <w:sz w:val="24"/>
          <w:szCs w:val="24"/>
          <w:lang w:val="zh-CN"/>
        </w:rPr>
        <w:t>2.2.6.3</w:t>
      </w:r>
      <w:r>
        <w:rPr>
          <w:rFonts w:hint="eastAsia" w:ascii="仿宋" w:hAnsi="仿宋" w:eastAsia="仿宋" w:cs="仿宋"/>
          <w:color w:val="auto"/>
          <w:sz w:val="24"/>
          <w:szCs w:val="24"/>
          <w:lang w:val="zh-CN"/>
        </w:rPr>
        <w:t>谈判小组对响应文件签署、盖章等进行审查过程中，有下列情形的，谈判小组应当评定为不影响整个响应文件有效性和采购活动公平竞争，并通过响应文件的有效性审查：</w:t>
      </w:r>
    </w:p>
    <w:p w14:paraId="6C92A0D1">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）响应文件存在个别地方（总数不能超过</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个）没有法定代表人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单位负责人签字，但有法定代表人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单位负责人的私人印章或者有效授权代理人签字的，但法定代表人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单位负责人授权书除外；</w:t>
      </w:r>
    </w:p>
    <w:p w14:paraId="48503469">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2</w:t>
      </w:r>
      <w:r>
        <w:rPr>
          <w:rFonts w:hint="eastAsia" w:ascii="仿宋" w:hAnsi="仿宋" w:eastAsia="仿宋" w:cs="仿宋"/>
          <w:color w:val="auto"/>
          <w:sz w:val="24"/>
          <w:szCs w:val="24"/>
          <w:lang w:val="zh-CN"/>
        </w:rPr>
        <w:t>）响应文件除采购文件明确要求加盖单位</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法人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公章的以外，其他地方以相关专用章加盖的；</w:t>
      </w:r>
    </w:p>
    <w:p w14:paraId="604ED2DA">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lang w:val="zh-CN"/>
        </w:rPr>
        <w:t>）以骑缝章的形式代替响应文件内容逐页盖章的（但是骑缝章模糊不清，印章名称无法辨认的除外）。</w:t>
      </w:r>
    </w:p>
    <w:p w14:paraId="661CBAED">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2.2.6.4</w:t>
      </w:r>
      <w:r>
        <w:rPr>
          <w:rFonts w:hint="eastAsia" w:ascii="仿宋" w:hAnsi="仿宋" w:eastAsia="仿宋" w:cs="仿宋"/>
          <w:color w:val="auto"/>
          <w:sz w:val="24"/>
          <w:szCs w:val="24"/>
        </w:rPr>
        <w:t>谈判小组</w:t>
      </w:r>
      <w:r>
        <w:rPr>
          <w:rFonts w:hint="eastAsia" w:ascii="仿宋" w:hAnsi="仿宋" w:eastAsia="仿宋" w:cs="仿宋"/>
          <w:color w:val="auto"/>
          <w:sz w:val="24"/>
          <w:szCs w:val="24"/>
          <w:lang w:val="zh-CN"/>
        </w:rPr>
        <w:t>对所有响应文件的有效性、完整性和响应程度进行审查</w:t>
      </w:r>
      <w:r>
        <w:rPr>
          <w:rFonts w:hint="eastAsia" w:ascii="仿宋" w:hAnsi="仿宋" w:eastAsia="仿宋" w:cs="仿宋"/>
          <w:color w:val="auto"/>
          <w:sz w:val="24"/>
          <w:szCs w:val="24"/>
        </w:rPr>
        <w:t>后，向采购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出具</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审查报告，确定继续谈判的供应商名单。没有通过</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审查的供应商，谈判小组应在</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审查报告中说明原因。</w:t>
      </w:r>
    </w:p>
    <w:p w14:paraId="51DEE4F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2.2.7</w:t>
      </w:r>
      <w:r>
        <w:rPr>
          <w:rFonts w:hint="eastAsia" w:ascii="仿宋" w:hAnsi="仿宋" w:eastAsia="仿宋" w:cs="仿宋"/>
          <w:b w:val="0"/>
          <w:bCs w:val="0"/>
          <w:color w:val="auto"/>
          <w:sz w:val="24"/>
          <w:szCs w:val="24"/>
        </w:rPr>
        <w:t>谈判过程中，谈判的任何一方不得透露与谈判有关的其他供应商的技术资料、价格和其他信息。</w:t>
      </w:r>
    </w:p>
    <w:p w14:paraId="0494A76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2.2.8</w:t>
      </w:r>
      <w:r>
        <w:rPr>
          <w:rFonts w:hint="eastAsia" w:ascii="仿宋" w:hAnsi="仿宋" w:eastAsia="仿宋" w:cs="仿宋"/>
          <w:b w:val="0"/>
          <w:bCs w:val="0"/>
          <w:color w:val="auto"/>
          <w:sz w:val="24"/>
          <w:szCs w:val="24"/>
        </w:rPr>
        <w:t>谈判过程中，谈判小组发现或者知晓供应商存在违法、违纪行为的，谈判小组应当将该供应商响应文件作无效处理，不允许其提交最后报价。</w:t>
      </w:r>
    </w:p>
    <w:p w14:paraId="70AF39B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2.2.9</w:t>
      </w:r>
      <w:r>
        <w:rPr>
          <w:rFonts w:hint="eastAsia" w:ascii="仿宋" w:hAnsi="仿宋" w:eastAsia="仿宋" w:cs="仿宋"/>
          <w:b w:val="0"/>
          <w:bCs w:val="0"/>
          <w:color w:val="auto"/>
          <w:sz w:val="24"/>
          <w:szCs w:val="24"/>
        </w:rPr>
        <w:t>谈判完成后，谈判小组应出具谈判情况记录表，谈判情况记录表需包含谈判内容、谈判意见、实质性变动内容等。</w:t>
      </w:r>
    </w:p>
    <w:p w14:paraId="6A2DC84E">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w:t>
      </w:r>
      <w:r>
        <w:rPr>
          <w:rFonts w:hint="eastAsia" w:ascii="仿宋" w:hAnsi="仿宋" w:eastAsia="仿宋" w:cs="仿宋"/>
          <w:color w:val="auto"/>
          <w:sz w:val="24"/>
          <w:szCs w:val="24"/>
        </w:rPr>
        <w:t>报价</w:t>
      </w:r>
    </w:p>
    <w:p w14:paraId="4016E8C9">
      <w:pPr>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rPr>
        <w:t>2.3.1</w:t>
      </w:r>
      <w:r>
        <w:rPr>
          <w:rFonts w:hint="eastAsia" w:ascii="仿宋" w:hAnsi="仿宋" w:eastAsia="仿宋" w:cs="仿宋"/>
          <w:color w:val="auto"/>
          <w:sz w:val="24"/>
          <w:szCs w:val="24"/>
        </w:rPr>
        <w:t>除首次响应文件中的报价以外，供应商报价采用现场报价。现场报价前，谈判小组应对供应商首次响应文件中的报价（</w:t>
      </w:r>
      <w:r>
        <w:rPr>
          <w:rFonts w:hint="eastAsia" w:ascii="仿宋" w:hAnsi="仿宋" w:eastAsia="仿宋" w:cs="仿宋"/>
          <w:color w:val="auto"/>
          <w:sz w:val="24"/>
          <w:szCs w:val="24"/>
          <w:lang w:val="zh-CN"/>
        </w:rPr>
        <w:t>已标价工程量清单</w:t>
      </w:r>
      <w:r>
        <w:rPr>
          <w:rFonts w:hint="eastAsia" w:ascii="仿宋" w:hAnsi="仿宋" w:eastAsia="仿宋" w:cs="仿宋"/>
          <w:color w:val="auto"/>
          <w:sz w:val="24"/>
          <w:szCs w:val="24"/>
        </w:rPr>
        <w:t>）进行评审：</w:t>
      </w:r>
    </w:p>
    <w:p w14:paraId="181CF3D5">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1</w:t>
      </w:r>
      <w:r>
        <w:rPr>
          <w:rFonts w:hint="eastAsia" w:ascii="仿宋" w:hAnsi="仿宋" w:eastAsia="仿宋" w:cs="仿宋"/>
          <w:color w:val="auto"/>
          <w:sz w:val="24"/>
          <w:szCs w:val="24"/>
          <w:lang w:val="zh-CN"/>
        </w:rPr>
        <w:t>）供应商已标价工程量清单出现谈判文件“供应商须知附表”中第</w:t>
      </w:r>
      <w:r>
        <w:rPr>
          <w:rFonts w:ascii="仿宋" w:hAnsi="仿宋" w:eastAsia="仿宋" w:cs="仿宋"/>
          <w:color w:val="auto"/>
          <w:sz w:val="24"/>
          <w:szCs w:val="24"/>
          <w:lang w:val="zh-CN"/>
        </w:rPr>
        <w:t>5</w:t>
      </w:r>
      <w:r>
        <w:rPr>
          <w:rFonts w:hint="eastAsia" w:ascii="仿宋" w:hAnsi="仿宋" w:eastAsia="仿宋" w:cs="仿宋"/>
          <w:color w:val="auto"/>
          <w:sz w:val="24"/>
          <w:szCs w:val="24"/>
          <w:lang w:val="zh-CN"/>
        </w:rPr>
        <w:t>项规定情形之一的，应按照无效响应文件处理；</w:t>
      </w:r>
    </w:p>
    <w:p w14:paraId="3C6EDD49">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）谈判小组对供应商已标价工程量清单进行算术性复核，如果出现下列不一致的，按以下原则进行修正：</w:t>
      </w:r>
    </w:p>
    <w:p w14:paraId="0507D36D">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14:paraId="139167D6">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修正后的报价经供应商确认后产生约束力，供应商不确认的，其响应文件作为无效处理。供应商确认采取书面且加盖单位公章或者供应商授权代表签字的方式。</w:t>
      </w:r>
    </w:p>
    <w:p w14:paraId="53F2F97F">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不得未经澄清、说明或者更正，直接将供应商响应文件作为无效处理。</w:t>
      </w:r>
    </w:p>
    <w:p w14:paraId="79D70AE6">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3</w:t>
      </w:r>
      <w:r>
        <w:rPr>
          <w:rFonts w:hint="eastAsia" w:ascii="仿宋" w:hAnsi="仿宋" w:eastAsia="仿宋" w:cs="仿宋"/>
          <w:color w:val="auto"/>
          <w:sz w:val="24"/>
          <w:szCs w:val="24"/>
          <w:lang w:val="zh-CN"/>
        </w:rPr>
        <w:t>）谈判小组对供应商已标价工程量清单的项目单价进行评审，对明显不合理的单价（如明显偏高或偏低）项目</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应在评审报告中记录，提醒采购人在签订合同时注意，并在合同履行过程中加强风险防范。</w:t>
      </w:r>
    </w:p>
    <w:p w14:paraId="04FAD3A1">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已标价工程量清单评审结束后，谈判小组应当要求所有实质性响应的供应商在规定时间内提交最后报价或者多轮报价后再最后报价，提交最后报价的供应商不得少于</w:t>
      </w:r>
      <w:r>
        <w:rPr>
          <w:rFonts w:ascii="仿宋" w:hAnsi="仿宋" w:eastAsia="仿宋" w:cs="仿宋"/>
          <w:color w:val="auto"/>
          <w:sz w:val="24"/>
          <w:szCs w:val="24"/>
        </w:rPr>
        <w:t>3</w:t>
      </w:r>
      <w:r>
        <w:rPr>
          <w:rFonts w:hint="eastAsia" w:ascii="仿宋" w:hAnsi="仿宋" w:eastAsia="仿宋" w:cs="仿宋"/>
          <w:color w:val="auto"/>
          <w:sz w:val="24"/>
          <w:szCs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0C24374C">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2.3.3</w:t>
      </w:r>
      <w:r>
        <w:rPr>
          <w:rFonts w:hint="eastAsia" w:ascii="仿宋" w:hAnsi="仿宋" w:eastAsia="仿宋" w:cs="仿宋"/>
          <w:color w:val="auto"/>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14:paraId="6C7C7B8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2.3.4</w:t>
      </w:r>
      <w:r>
        <w:rPr>
          <w:rFonts w:hint="eastAsia" w:ascii="仿宋" w:hAnsi="仿宋" w:eastAsia="仿宋" w:cs="仿宋"/>
          <w:color w:val="auto"/>
          <w:sz w:val="24"/>
          <w:szCs w:val="24"/>
        </w:rPr>
        <w:t>供应商报价应当由法定代表人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191976B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2.3.5</w:t>
      </w:r>
      <w:r>
        <w:rPr>
          <w:rFonts w:hint="eastAsia" w:ascii="仿宋" w:hAnsi="仿宋" w:eastAsia="仿宋" w:cs="仿宋"/>
          <w:color w:val="auto"/>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14:paraId="1360B6F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2.3.6 </w:t>
      </w:r>
      <w:r>
        <w:rPr>
          <w:rFonts w:hint="eastAsia" w:ascii="仿宋" w:hAnsi="仿宋" w:eastAsia="仿宋" w:cs="仿宋"/>
          <w:color w:val="auto"/>
          <w:sz w:val="24"/>
          <w:szCs w:val="24"/>
        </w:rPr>
        <w:t>谈判小组应当将供应商的最后报价进行促进中小企业发展的价格扣除和对失信供应商的价格加成后进行排序。</w:t>
      </w:r>
    </w:p>
    <w:p w14:paraId="7820482A">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2.4</w:t>
      </w:r>
      <w:r>
        <w:rPr>
          <w:rFonts w:hint="eastAsia" w:ascii="仿宋" w:hAnsi="仿宋" w:eastAsia="仿宋" w:cs="仿宋"/>
          <w:color w:val="auto"/>
          <w:sz w:val="24"/>
          <w:szCs w:val="24"/>
        </w:rPr>
        <w:t>谈判小组复核。供应商最后报价结束后，谈判小组应当进行评审复核，对拟推荐为成交候选供应商的、报价最低的、供应商响应文件作无效处理的重点复核。</w:t>
      </w:r>
    </w:p>
    <w:p w14:paraId="0E327BCC">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推荐成交候选供应商。谈判小组应当根据报价低到高顺序推荐</w:t>
      </w:r>
      <w:r>
        <w:rPr>
          <w:rFonts w:ascii="仿宋" w:hAnsi="仿宋" w:eastAsia="仿宋" w:cs="仿宋"/>
          <w:color w:val="auto"/>
          <w:sz w:val="24"/>
          <w:szCs w:val="24"/>
        </w:rPr>
        <w:t>3</w:t>
      </w:r>
      <w:r>
        <w:rPr>
          <w:rFonts w:hint="eastAsia" w:ascii="仿宋" w:hAnsi="仿宋" w:eastAsia="仿宋" w:cs="仿宋"/>
          <w:color w:val="auto"/>
          <w:sz w:val="24"/>
          <w:szCs w:val="24"/>
        </w:rPr>
        <w:t>家以上成交候选供应商，并编写谈判报告。最后报价相同的，成交候选供应商并列，由采购人随机抽签确定成交供应商。</w:t>
      </w:r>
    </w:p>
    <w:p w14:paraId="67B30F5F">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w:t>
      </w:r>
      <w:r>
        <w:rPr>
          <w:rFonts w:hint="eastAsia" w:ascii="仿宋" w:hAnsi="仿宋" w:eastAsia="仿宋" w:cs="仿宋"/>
          <w:color w:val="auto"/>
          <w:sz w:val="24"/>
          <w:szCs w:val="24"/>
        </w:rPr>
        <w:t>编写谈判报告。谈判小组推荐成交候选供应商后，应向采购代理机构出具谈判报告。谈判报告应当包括以下主要内容：</w:t>
      </w:r>
    </w:p>
    <w:p w14:paraId="272FE3AD">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）邀请供应商参加采购活动的具体方式和相关情况；</w:t>
      </w:r>
    </w:p>
    <w:p w14:paraId="348E1DD4">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）响应文件开启日期和地点；</w:t>
      </w:r>
    </w:p>
    <w:p w14:paraId="157C0388">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）获取谈判文件的供应商名单和谈判小组成员名单；</w:t>
      </w:r>
    </w:p>
    <w:p w14:paraId="742E4DCF">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）评审情况记录和说明，包括对供应商的资格审查情况、供应商响应文件审查情况、谈判情况、报价情况等；</w:t>
      </w:r>
    </w:p>
    <w:p w14:paraId="77A0E72C">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）提出的成交候选供应商的排序名单及理由。</w:t>
      </w:r>
    </w:p>
    <w:p w14:paraId="3091132E">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2E43BAA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2.7</w:t>
      </w:r>
      <w:r>
        <w:rPr>
          <w:rFonts w:hint="eastAsia" w:ascii="仿宋" w:hAnsi="仿宋" w:eastAsia="仿宋" w:cs="仿宋"/>
          <w:color w:val="auto"/>
          <w:sz w:val="24"/>
          <w:szCs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1C27CFF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w:t>
      </w:r>
      <w:r>
        <w:rPr>
          <w:rFonts w:hint="eastAsia" w:ascii="仿宋" w:hAnsi="仿宋" w:eastAsia="仿宋" w:cs="仿宋"/>
          <w:color w:val="auto"/>
          <w:sz w:val="24"/>
          <w:szCs w:val="24"/>
        </w:rPr>
        <w:t>供应商澄清、说明</w:t>
      </w:r>
    </w:p>
    <w:p w14:paraId="6ED0F031">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2.8.1</w:t>
      </w:r>
      <w:r>
        <w:rPr>
          <w:rFonts w:hint="eastAsia" w:ascii="仿宋" w:hAnsi="仿宋" w:eastAsia="仿宋" w:cs="仿宋"/>
          <w:color w:val="auto"/>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A180D9">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2.8.2</w:t>
      </w:r>
      <w:r>
        <w:rPr>
          <w:rFonts w:hint="eastAsia" w:ascii="仿宋" w:hAnsi="仿宋" w:eastAsia="仿宋" w:cs="仿宋"/>
          <w:color w:val="auto"/>
          <w:sz w:val="24"/>
          <w:szCs w:val="24"/>
        </w:rPr>
        <w:t>谈判小组要求供应商澄清、说明或者更正响应文件应当以书面形式作出。供应商的澄清、说明或者更正应当由法定代表人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w:t>
      </w:r>
      <w:r>
        <w:rPr>
          <w:rFonts w:hint="eastAsia" w:ascii="仿宋" w:hAnsi="仿宋" w:eastAsia="仿宋" w:cs="仿宋"/>
          <w:b/>
          <w:bCs/>
          <w:color w:val="auto"/>
          <w:sz w:val="24"/>
          <w:szCs w:val="24"/>
        </w:rPr>
        <w:t>注：</w:t>
      </w:r>
      <w:r>
        <w:rPr>
          <w:rFonts w:hint="eastAsia" w:ascii="仿宋" w:hAnsi="仿宋" w:eastAsia="仿宋" w:cs="仿宋"/>
          <w:color w:val="auto"/>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49208009">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2.9</w:t>
      </w:r>
      <w:r>
        <w:rPr>
          <w:rFonts w:hint="eastAsia" w:ascii="仿宋" w:hAnsi="仿宋" w:eastAsia="仿宋" w:cs="仿宋"/>
          <w:color w:val="auto"/>
          <w:sz w:val="24"/>
          <w:szCs w:val="24"/>
        </w:rPr>
        <w:t>终止谈判采购活动。</w:t>
      </w:r>
    </w:p>
    <w:p w14:paraId="058BB55D">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出现下列情形之一的，采购人或者采购代理机构应当终止竞争性谈判采购活动，发布项目终止公告并说明原因，重新开展采购活动：</w:t>
      </w:r>
    </w:p>
    <w:p w14:paraId="520B7DE8">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）因情况变化，不再符合规定的竞争性谈判采购方式适用情形的；</w:t>
      </w:r>
    </w:p>
    <w:p w14:paraId="37FAA2CA">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）出现影响采购公正的违法、违规行为的；</w:t>
      </w:r>
    </w:p>
    <w:p w14:paraId="7CA2EBA1">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）在采购过程中符合要求的供应商或者最后报价未超过采购预算的供应商不足</w:t>
      </w:r>
      <w:r>
        <w:rPr>
          <w:rFonts w:ascii="仿宋" w:hAnsi="仿宋" w:eastAsia="仿宋" w:cs="仿宋"/>
          <w:color w:val="auto"/>
          <w:sz w:val="24"/>
          <w:szCs w:val="24"/>
        </w:rPr>
        <w:t>3</w:t>
      </w:r>
      <w:r>
        <w:rPr>
          <w:rFonts w:hint="eastAsia" w:ascii="仿宋" w:hAnsi="仿宋" w:eastAsia="仿宋" w:cs="仿宋"/>
          <w:color w:val="auto"/>
          <w:sz w:val="24"/>
          <w:szCs w:val="24"/>
        </w:rPr>
        <w:t>家的。</w:t>
      </w:r>
    </w:p>
    <w:p w14:paraId="5B12220E">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2.10</w:t>
      </w:r>
      <w:r>
        <w:rPr>
          <w:rFonts w:hint="eastAsia" w:ascii="仿宋" w:hAnsi="仿宋" w:eastAsia="仿宋" w:cs="仿宋"/>
          <w:color w:val="auto"/>
          <w:sz w:val="24"/>
          <w:szCs w:val="24"/>
        </w:rPr>
        <w:t>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bookmarkEnd w:id="101"/>
    <w:bookmarkEnd w:id="102"/>
    <w:bookmarkEnd w:id="103"/>
    <w:bookmarkEnd w:id="104"/>
    <w:p w14:paraId="7F2F3725">
      <w:pPr>
        <w:tabs>
          <w:tab w:val="left" w:pos="851"/>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谈判纪律及注意事项</w:t>
      </w:r>
    </w:p>
    <w:p w14:paraId="5693F1FF">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3.1</w:t>
      </w:r>
      <w:r>
        <w:rPr>
          <w:rFonts w:hint="eastAsia" w:ascii="仿宋" w:hAnsi="仿宋" w:eastAsia="仿宋" w:cs="仿宋"/>
          <w:color w:val="auto"/>
          <w:sz w:val="24"/>
          <w:szCs w:val="24"/>
        </w:rPr>
        <w:t>谈判小组内部讨论的情况和意见必须保密，任何人不得以任何形式透露给供应商或与供应商有关的单位或个人。</w:t>
      </w:r>
    </w:p>
    <w:p w14:paraId="69ACBA5E">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w:t>
      </w:r>
      <w:r>
        <w:rPr>
          <w:rFonts w:hint="eastAsia" w:ascii="仿宋" w:hAnsi="仿宋" w:eastAsia="仿宋" w:cs="仿宋"/>
          <w:color w:val="auto"/>
          <w:sz w:val="24"/>
          <w:szCs w:val="24"/>
        </w:rPr>
        <w:t>在谈判过程中，供应商不得以任何形式对谈判小组成员进行旨在影响谈判结果的私下接触，否则将取消其参与谈判的资格。</w:t>
      </w:r>
    </w:p>
    <w:p w14:paraId="18935DA7">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对各供应商的商业秘密，谈判小组成员应予以保密，不得泄露给其他供应商。</w:t>
      </w:r>
    </w:p>
    <w:p w14:paraId="4CDFB829">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 </w:t>
      </w:r>
      <w:r>
        <w:rPr>
          <w:rFonts w:hint="eastAsia" w:ascii="仿宋" w:hAnsi="仿宋" w:eastAsia="仿宋" w:cs="仿宋"/>
          <w:color w:val="auto"/>
          <w:sz w:val="24"/>
          <w:szCs w:val="24"/>
        </w:rPr>
        <w:t>谈判小组独立评判，推荐成交候选人，并写出书面报告。</w:t>
      </w:r>
    </w:p>
    <w:p w14:paraId="629FFD7E">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3.5 </w:t>
      </w:r>
      <w:r>
        <w:rPr>
          <w:rFonts w:hint="eastAsia" w:ascii="仿宋" w:hAnsi="仿宋" w:eastAsia="仿宋" w:cs="仿宋"/>
          <w:color w:val="auto"/>
          <w:sz w:val="24"/>
          <w:szCs w:val="24"/>
        </w:rPr>
        <w:t>谈判小组可根据需要对供应商进行实地考察。</w:t>
      </w:r>
    </w:p>
    <w:p w14:paraId="604C4E5F">
      <w:pPr>
        <w:spacing w:line="360" w:lineRule="auto"/>
        <w:ind w:firstLine="480" w:firstLineChars="200"/>
        <w:rPr>
          <w:rFonts w:ascii="仿宋" w:hAnsi="仿宋" w:eastAsia="仿宋"/>
          <w:color w:val="auto"/>
          <w:sz w:val="24"/>
          <w:szCs w:val="24"/>
        </w:rPr>
      </w:pPr>
    </w:p>
    <w:p w14:paraId="03B5FE9B">
      <w:pPr>
        <w:tabs>
          <w:tab w:val="left" w:pos="7665"/>
        </w:tabs>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4.</w:t>
      </w:r>
      <w:bookmarkEnd w:id="105"/>
      <w:r>
        <w:rPr>
          <w:rFonts w:hint="eastAsia" w:ascii="仿宋" w:hAnsi="仿宋" w:eastAsia="仿宋" w:cs="仿宋"/>
          <w:b/>
          <w:bCs/>
          <w:color w:val="auto"/>
          <w:sz w:val="24"/>
          <w:szCs w:val="24"/>
        </w:rPr>
        <w:t>谈判小组在政府采购活动中承担以下义务：</w:t>
      </w:r>
    </w:p>
    <w:p w14:paraId="0F29AEFC">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遵守评审工作纪律；</w:t>
      </w:r>
    </w:p>
    <w:p w14:paraId="2A633944">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按照客观、公正、审慎的原则，根据谈判文件规定的评审程序、评审方法和评审标准进行独立评审；</w:t>
      </w:r>
    </w:p>
    <w:p w14:paraId="4510308F">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不得泄露评审文件、评审情况和在评审过程中获悉的商业秘密；</w:t>
      </w:r>
    </w:p>
    <w:p w14:paraId="51B8C4E0">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及时向财政部门报告评审过程中发现的采购人、采购代理机构向评审专家做倾向性、误导性的解释或者说明，以及供应商行贿、提供虚假材料或者串通等违法行为；</w:t>
      </w:r>
    </w:p>
    <w:p w14:paraId="2BD0258F">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发现谈判文件内容违反国家有关强制性规定或者谈判文件存在歧义、重大缺陷导致评审工作无法进行时，停止评审并向采购人或者采购代理机构书面说明情况；</w:t>
      </w:r>
    </w:p>
    <w:p w14:paraId="1AD50869">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及时向财政、监察等部门举报在评审过程中受到非法干预的情况；</w:t>
      </w:r>
    </w:p>
    <w:p w14:paraId="6C4F5600">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配合答复处理供应商的询问、质疑和投诉等事项；</w:t>
      </w:r>
    </w:p>
    <w:p w14:paraId="2AE3CEC2">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法律、法规和规章规定的其他义务。</w:t>
      </w:r>
    </w:p>
    <w:p w14:paraId="13EE1B6A">
      <w:pPr>
        <w:tabs>
          <w:tab w:val="left" w:pos="7665"/>
        </w:tabs>
        <w:spacing w:line="360" w:lineRule="auto"/>
        <w:rPr>
          <w:rFonts w:ascii="仿宋" w:hAnsi="仿宋" w:eastAsia="仿宋"/>
          <w:color w:val="auto"/>
          <w:sz w:val="24"/>
          <w:szCs w:val="24"/>
        </w:rPr>
      </w:pPr>
    </w:p>
    <w:p w14:paraId="1AED8E01">
      <w:pPr>
        <w:tabs>
          <w:tab w:val="left" w:pos="7665"/>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评审专家在政府采购活动中应当遵守以下工作纪律：</w:t>
      </w:r>
    </w:p>
    <w:p w14:paraId="3A1EABE7">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不得参加与自己有《中华人民共和国政府采购法实施条例》第九条规定的利害关系的政府采购项目的评审活动。发现参加了与自己有利害关系的评审活动，须主动提出回避，退出评审；</w:t>
      </w:r>
    </w:p>
    <w:p w14:paraId="52AE620F">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评审前，应当将通讯工具或者相关电子设备交由采购代理机构统一保管；</w:t>
      </w:r>
    </w:p>
    <w:p w14:paraId="6BAEB212">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评审过程中，不得与外界联系，因发生不可预见情况，确实需要与外界联系的，应当在监督人员监督之下办理；</w:t>
      </w:r>
    </w:p>
    <w:p w14:paraId="52E86BE2">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645390C4">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在评审过程中和评审结束后，不得记录、复制或带走任何评审资料，不得向外界透露评审内容；</w:t>
      </w:r>
    </w:p>
    <w:p w14:paraId="04D0971C">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评审现场服从采购代理机构工作人员的管理，接受现场监督人员的合法监督；</w:t>
      </w:r>
    </w:p>
    <w:p w14:paraId="2B999FCB">
      <w:pPr>
        <w:tabs>
          <w:tab w:val="left" w:pos="7665"/>
        </w:tabs>
        <w:spacing w:line="400" w:lineRule="exact"/>
        <w:jc w:val="left"/>
        <w:rPr>
          <w:rFonts w:ascii="仿宋" w:hAnsi="仿宋" w:eastAsia="仿宋" w:cs="仿宋"/>
          <w:color w:val="auto"/>
        </w:rPr>
      </w:pPr>
      <w:r>
        <w:rPr>
          <w:rFonts w:hint="eastAsia" w:ascii="仿宋" w:hAnsi="仿宋" w:eastAsia="仿宋" w:cs="仿宋"/>
          <w:color w:val="auto"/>
        </w:rPr>
        <w:t>遵守有关廉洁自律规定，不得私下接触供应商，不得收受供应商及有关业务单位和个人的财物或好处，不得接受采购代理机构的请托。</w:t>
      </w:r>
    </w:p>
    <w:p w14:paraId="690B22B8">
      <w:pPr>
        <w:tabs>
          <w:tab w:val="left" w:pos="7665"/>
        </w:tabs>
        <w:spacing w:line="400" w:lineRule="exact"/>
        <w:jc w:val="center"/>
        <w:rPr>
          <w:rFonts w:ascii="宋体" w:hAnsi="宋体"/>
          <w:b/>
          <w:color w:val="auto"/>
          <w:sz w:val="36"/>
          <w:szCs w:val="36"/>
        </w:rPr>
      </w:pPr>
      <w:r>
        <w:rPr>
          <w:rFonts w:ascii="仿宋" w:hAnsi="仿宋" w:eastAsia="仿宋"/>
          <w:color w:val="auto"/>
        </w:rPr>
        <w:br w:type="page"/>
      </w:r>
      <w:bookmarkStart w:id="106" w:name="_Toc41037910"/>
      <w:bookmarkStart w:id="107" w:name="_Toc509579148"/>
      <w:r>
        <w:rPr>
          <w:rFonts w:hint="eastAsia" w:ascii="宋体" w:hAnsi="宋体"/>
          <w:color w:val="auto"/>
          <w:sz w:val="36"/>
          <w:szCs w:val="36"/>
        </w:rPr>
        <w:t xml:space="preserve">第九章 </w:t>
      </w:r>
      <w:bookmarkEnd w:id="100"/>
      <w:bookmarkEnd w:id="106"/>
      <w:bookmarkEnd w:id="107"/>
      <w:r>
        <w:rPr>
          <w:rFonts w:hint="eastAsia" w:ascii="宋体" w:hAnsi="宋体"/>
          <w:color w:val="auto"/>
          <w:sz w:val="36"/>
          <w:szCs w:val="36"/>
        </w:rPr>
        <w:t>政府采购合同（草案）</w:t>
      </w:r>
    </w:p>
    <w:p w14:paraId="72078F37">
      <w:pPr>
        <w:spacing w:line="360" w:lineRule="auto"/>
        <w:ind w:firstLine="482" w:firstLineChars="200"/>
        <w:rPr>
          <w:rFonts w:ascii="宋体" w:hAnsi="宋体"/>
          <w:b/>
          <w:bCs/>
          <w:color w:val="auto"/>
          <w:sz w:val="24"/>
        </w:rPr>
      </w:pPr>
      <w:bookmarkStart w:id="108" w:name="_Hlt101846155"/>
      <w:bookmarkEnd w:id="108"/>
    </w:p>
    <w:p w14:paraId="41F102F2">
      <w:pPr>
        <w:pStyle w:val="81"/>
        <w:ind w:firstLine="480"/>
        <w:rPr>
          <w:rFonts w:ascii="宋体" w:hAnsi="宋体"/>
          <w:color w:val="auto"/>
        </w:rPr>
      </w:pPr>
      <w:r>
        <w:rPr>
          <w:rFonts w:hint="eastAsia" w:ascii="宋体" w:hAnsi="宋体"/>
          <w:color w:val="auto"/>
        </w:rPr>
        <w:t>合同编号：XXX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6A24B6B6">
      <w:pPr>
        <w:pStyle w:val="81"/>
        <w:ind w:firstLine="480"/>
        <w:rPr>
          <w:rFonts w:ascii="宋体" w:hAnsi="宋体"/>
          <w:color w:val="auto"/>
        </w:rPr>
      </w:pPr>
      <w:r>
        <w:rPr>
          <w:rFonts w:hint="eastAsia" w:ascii="宋体" w:hAnsi="宋体"/>
          <w:color w:val="auto"/>
        </w:rPr>
        <w:t>签订地点：XXX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1CF4F1F5">
      <w:pPr>
        <w:pStyle w:val="81"/>
        <w:ind w:firstLine="480"/>
        <w:rPr>
          <w:rFonts w:ascii="宋体" w:hAnsi="宋体"/>
          <w:color w:val="auto"/>
        </w:rPr>
      </w:pPr>
      <w:r>
        <w:rPr>
          <w:rFonts w:hint="eastAsia" w:ascii="宋体" w:hAnsi="宋体"/>
          <w:color w:val="auto"/>
        </w:rPr>
        <w:t>签订时间：XXX年XXX月XXX日</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3857F26D">
      <w:pPr>
        <w:pStyle w:val="81"/>
        <w:ind w:firstLine="480"/>
        <w:rPr>
          <w:rFonts w:ascii="宋体" w:hAnsi="宋体"/>
          <w:color w:val="auto"/>
        </w:rPr>
      </w:pPr>
      <w:r>
        <w:rPr>
          <w:rFonts w:hint="eastAsia" w:ascii="宋体" w:hAnsi="宋体"/>
          <w:color w:val="auto"/>
        </w:rPr>
        <w:t>采购人（甲方）：XXX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4EC442A2">
      <w:pPr>
        <w:pStyle w:val="81"/>
        <w:ind w:firstLine="480"/>
        <w:rPr>
          <w:rFonts w:ascii="宋体" w:hAnsi="宋体"/>
          <w:color w:val="auto"/>
        </w:rPr>
      </w:pPr>
      <w:r>
        <w:rPr>
          <w:rFonts w:hint="eastAsia" w:ascii="宋体" w:hAnsi="宋体"/>
          <w:color w:val="auto"/>
        </w:rPr>
        <w:t>供应商（乙方）：XXX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p>
    <w:p w14:paraId="15288332">
      <w:pPr>
        <w:spacing w:line="400" w:lineRule="exact"/>
        <w:rPr>
          <w:rFonts w:ascii="宋体" w:hAnsi="宋体"/>
          <w:color w:val="auto"/>
          <w:sz w:val="24"/>
        </w:rPr>
      </w:pPr>
    </w:p>
    <w:p w14:paraId="07D27BFD">
      <w:pPr>
        <w:pStyle w:val="81"/>
        <w:ind w:firstLine="480"/>
        <w:rPr>
          <w:rFonts w:ascii="宋体" w:hAnsi="宋体"/>
          <w:color w:val="auto"/>
        </w:rPr>
      </w:pPr>
      <w:r>
        <w:rPr>
          <w:rFonts w:hint="eastAsia" w:ascii="宋体" w:hAnsi="宋体"/>
          <w:color w:val="auto"/>
        </w:rPr>
        <w:t>根据《中华人民共和国政府采购法》、《中华人民共和国民法典》及</w:t>
      </w:r>
      <w:r>
        <w:rPr>
          <w:rFonts w:hint="eastAsia" w:ascii="宋体" w:hAnsi="宋体"/>
          <w:b/>
          <w:bCs/>
          <w:color w:val="auto"/>
          <w:u w:val="single"/>
          <w:lang w:eastAsia="zh-CN"/>
        </w:rPr>
        <w:t>四川川信致远资产经营管理有限公司自动售货机食品饮料采购项目</w:t>
      </w:r>
      <w:r>
        <w:rPr>
          <w:rFonts w:hint="eastAsia" w:ascii="宋体" w:hAnsi="宋体"/>
          <w:color w:val="auto"/>
        </w:rPr>
        <w:t>项目（项目编号：XXX）的《</w:t>
      </w:r>
      <w:r>
        <w:rPr>
          <w:rFonts w:hint="eastAsia" w:ascii="宋体" w:hAnsi="宋体"/>
          <w:bCs/>
          <w:color w:val="auto"/>
        </w:rPr>
        <w:t>谈判</w:t>
      </w:r>
      <w:r>
        <w:rPr>
          <w:rFonts w:hint="eastAsia" w:ascii="宋体" w:hAnsi="宋体"/>
          <w:color w:val="auto"/>
        </w:rPr>
        <w:t>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14:paraId="7C0D8DDF">
      <w:pPr>
        <w:pStyle w:val="81"/>
        <w:ind w:firstLine="480"/>
        <w:rPr>
          <w:rFonts w:ascii="宋体" w:hAnsi="宋体"/>
          <w:color w:val="auto"/>
        </w:rPr>
      </w:pPr>
    </w:p>
    <w:p w14:paraId="30EB7808">
      <w:pPr>
        <w:numPr>
          <w:ilvl w:val="0"/>
          <w:numId w:val="5"/>
        </w:numPr>
        <w:rPr>
          <w:rFonts w:ascii="黑体" w:hAnsi="宋体"/>
          <w:b/>
          <w:color w:val="auto"/>
          <w:sz w:val="24"/>
        </w:rPr>
      </w:pPr>
      <w:r>
        <w:rPr>
          <w:rFonts w:hint="eastAsia" w:ascii="黑体" w:hAnsi="宋体"/>
          <w:b/>
          <w:color w:val="auto"/>
          <w:sz w:val="24"/>
        </w:rPr>
        <w:t>合同货物</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0398A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14:paraId="609234D3">
            <w:pPr>
              <w:ind w:firstLine="210" w:firstLineChars="100"/>
              <w:rPr>
                <w:rFonts w:ascii="宋体" w:hAnsi="宋体"/>
                <w:color w:val="auto"/>
              </w:rPr>
            </w:pPr>
            <w:r>
              <w:rPr>
                <w:rFonts w:hint="eastAsia" w:ascii="宋体" w:hAnsi="宋体" w:cs="Arial"/>
                <w:color w:val="auto"/>
              </w:rPr>
              <w:t>货物品名</w:t>
            </w:r>
          </w:p>
        </w:tc>
        <w:tc>
          <w:tcPr>
            <w:tcW w:w="1027" w:type="dxa"/>
            <w:vMerge w:val="restart"/>
            <w:tcBorders>
              <w:top w:val="single" w:color="auto" w:sz="4" w:space="0"/>
              <w:left w:val="single" w:color="auto" w:sz="4" w:space="0"/>
              <w:right w:val="single" w:color="auto" w:sz="4" w:space="0"/>
            </w:tcBorders>
            <w:vAlign w:val="center"/>
          </w:tcPr>
          <w:p w14:paraId="735D43F7">
            <w:pPr>
              <w:jc w:val="center"/>
              <w:rPr>
                <w:rFonts w:ascii="宋体" w:hAnsi="宋体" w:cs="Arial"/>
                <w:color w:val="auto"/>
              </w:rPr>
            </w:pPr>
            <w:r>
              <w:rPr>
                <w:rFonts w:hint="eastAsia" w:ascii="宋体" w:hAnsi="宋体" w:cs="Arial"/>
                <w:color w:val="auto"/>
              </w:rPr>
              <w:t>规格</w:t>
            </w:r>
          </w:p>
          <w:p w14:paraId="3332CA9D">
            <w:pPr>
              <w:jc w:val="center"/>
              <w:rPr>
                <w:rFonts w:ascii="宋体" w:hAnsi="宋体"/>
                <w:color w:val="auto"/>
              </w:rPr>
            </w:pPr>
            <w:r>
              <w:rPr>
                <w:rFonts w:hint="eastAsia" w:ascii="宋体" w:hAnsi="宋体" w:cs="Arial"/>
                <w:color w:val="auto"/>
              </w:rPr>
              <w:t>型号</w:t>
            </w:r>
          </w:p>
        </w:tc>
        <w:tc>
          <w:tcPr>
            <w:tcW w:w="604" w:type="dxa"/>
            <w:vMerge w:val="restart"/>
            <w:tcBorders>
              <w:top w:val="single" w:color="auto" w:sz="4" w:space="0"/>
              <w:left w:val="single" w:color="auto" w:sz="4" w:space="0"/>
              <w:right w:val="single" w:color="auto" w:sz="4" w:space="0"/>
            </w:tcBorders>
            <w:vAlign w:val="center"/>
          </w:tcPr>
          <w:p w14:paraId="663900A5">
            <w:pPr>
              <w:rPr>
                <w:rFonts w:ascii="宋体" w:hAnsi="宋体"/>
                <w:color w:val="auto"/>
              </w:rPr>
            </w:pPr>
            <w:r>
              <w:rPr>
                <w:rFonts w:hint="eastAsia" w:ascii="宋体" w:hAnsi="宋体" w:cs="Arial"/>
                <w:color w:val="auto"/>
              </w:rPr>
              <w:t>单位</w:t>
            </w:r>
          </w:p>
        </w:tc>
        <w:tc>
          <w:tcPr>
            <w:tcW w:w="531" w:type="dxa"/>
            <w:vMerge w:val="restart"/>
            <w:tcBorders>
              <w:top w:val="single" w:color="auto" w:sz="4" w:space="0"/>
              <w:left w:val="single" w:color="auto" w:sz="4" w:space="0"/>
              <w:right w:val="single" w:color="auto" w:sz="4" w:space="0"/>
            </w:tcBorders>
            <w:vAlign w:val="center"/>
          </w:tcPr>
          <w:p w14:paraId="73E1E645">
            <w:pPr>
              <w:ind w:firstLine="105" w:firstLineChars="50"/>
              <w:rPr>
                <w:rFonts w:ascii="宋体" w:hAnsi="宋体"/>
                <w:color w:val="auto"/>
              </w:rPr>
            </w:pPr>
            <w:r>
              <w:rPr>
                <w:rFonts w:hint="eastAsia" w:ascii="宋体" w:hAnsi="宋体" w:cs="Arial"/>
                <w:color w:val="auto"/>
              </w:rPr>
              <w:t>数量</w:t>
            </w:r>
          </w:p>
        </w:tc>
        <w:tc>
          <w:tcPr>
            <w:tcW w:w="1064" w:type="dxa"/>
            <w:vMerge w:val="restart"/>
            <w:tcBorders>
              <w:top w:val="single" w:color="auto" w:sz="4" w:space="0"/>
              <w:left w:val="single" w:color="auto" w:sz="4" w:space="0"/>
              <w:right w:val="single" w:color="auto" w:sz="4" w:space="0"/>
            </w:tcBorders>
            <w:vAlign w:val="center"/>
          </w:tcPr>
          <w:p w14:paraId="43ADE94A">
            <w:pPr>
              <w:ind w:firstLine="105" w:firstLineChars="50"/>
              <w:jc w:val="center"/>
              <w:rPr>
                <w:rFonts w:ascii="宋体" w:hAnsi="宋体" w:cs="Arial"/>
                <w:color w:val="auto"/>
              </w:rPr>
            </w:pPr>
            <w:r>
              <w:rPr>
                <w:rFonts w:hint="eastAsia" w:ascii="宋体" w:hAnsi="宋体" w:cs="Arial"/>
                <w:color w:val="auto"/>
              </w:rPr>
              <w:t>单价</w:t>
            </w:r>
          </w:p>
          <w:p w14:paraId="75941031">
            <w:pPr>
              <w:jc w:val="center"/>
              <w:rPr>
                <w:rFonts w:ascii="宋体" w:hAnsi="宋体" w:cs="Arial"/>
                <w:color w:val="auto"/>
              </w:rPr>
            </w:pPr>
            <w:r>
              <w:rPr>
                <w:rFonts w:hint="eastAsia" w:ascii="宋体" w:hAnsi="宋体" w:cs="Arial"/>
                <w:color w:val="auto"/>
              </w:rPr>
              <w:t>（元）</w:t>
            </w:r>
          </w:p>
        </w:tc>
        <w:tc>
          <w:tcPr>
            <w:tcW w:w="888" w:type="dxa"/>
            <w:vMerge w:val="restart"/>
            <w:tcBorders>
              <w:top w:val="single" w:color="auto" w:sz="4" w:space="0"/>
              <w:left w:val="single" w:color="auto" w:sz="4" w:space="0"/>
              <w:right w:val="single" w:color="auto" w:sz="4" w:space="0"/>
            </w:tcBorders>
            <w:vAlign w:val="center"/>
          </w:tcPr>
          <w:p w14:paraId="1EDE47D8">
            <w:pPr>
              <w:ind w:leftChars="-1" w:right="-88" w:rightChars="-42" w:hanging="2" w:hangingChars="1"/>
              <w:jc w:val="center"/>
              <w:rPr>
                <w:rFonts w:ascii="宋体" w:hAnsi="宋体" w:cs="Arial"/>
                <w:color w:val="auto"/>
              </w:rPr>
            </w:pPr>
            <w:r>
              <w:rPr>
                <w:rFonts w:hint="eastAsia" w:ascii="宋体" w:hAnsi="宋体" w:cs="Arial"/>
                <w:color w:val="auto"/>
              </w:rPr>
              <w:t>总价</w:t>
            </w:r>
          </w:p>
          <w:p w14:paraId="130DF826">
            <w:pPr>
              <w:ind w:leftChars="-1" w:right="-88" w:rightChars="-42" w:hanging="2" w:hangingChars="1"/>
              <w:jc w:val="center"/>
              <w:rPr>
                <w:rFonts w:ascii="宋体" w:hAnsi="宋体" w:cs="Arial"/>
                <w:color w:val="auto"/>
              </w:rPr>
            </w:pPr>
            <w:r>
              <w:rPr>
                <w:rFonts w:hint="eastAsia" w:ascii="宋体" w:hAnsi="宋体" w:cs="Arial"/>
                <w:color w:val="auto"/>
              </w:rPr>
              <w:t>（元）</w:t>
            </w:r>
          </w:p>
        </w:tc>
        <w:tc>
          <w:tcPr>
            <w:tcW w:w="917" w:type="dxa"/>
            <w:vMerge w:val="restart"/>
            <w:tcBorders>
              <w:top w:val="single" w:color="auto" w:sz="4" w:space="0"/>
              <w:left w:val="single" w:color="auto" w:sz="4" w:space="0"/>
              <w:right w:val="single" w:color="auto" w:sz="4" w:space="0"/>
            </w:tcBorders>
            <w:vAlign w:val="center"/>
          </w:tcPr>
          <w:p w14:paraId="53B432B3">
            <w:pPr>
              <w:jc w:val="center"/>
              <w:rPr>
                <w:rFonts w:ascii="宋体" w:hAnsi="宋体" w:cs="Arial"/>
                <w:color w:val="auto"/>
              </w:rPr>
            </w:pPr>
            <w:r>
              <w:rPr>
                <w:rFonts w:hint="eastAsia" w:ascii="宋体" w:hAnsi="宋体" w:cs="Arial"/>
                <w:color w:val="auto"/>
              </w:rPr>
              <w:t>随机</w:t>
            </w:r>
          </w:p>
          <w:p w14:paraId="7899D45E">
            <w:pPr>
              <w:jc w:val="center"/>
              <w:rPr>
                <w:rFonts w:ascii="宋体" w:hAnsi="宋体"/>
                <w:color w:val="auto"/>
              </w:rPr>
            </w:pPr>
            <w:r>
              <w:rPr>
                <w:rFonts w:hint="eastAsia" w:ascii="宋体" w:hAnsi="宋体" w:cs="Arial"/>
                <w:color w:val="auto"/>
              </w:rPr>
              <w:t>配件</w:t>
            </w:r>
          </w:p>
        </w:tc>
        <w:tc>
          <w:tcPr>
            <w:tcW w:w="932" w:type="dxa"/>
            <w:vMerge w:val="restart"/>
            <w:tcBorders>
              <w:top w:val="single" w:color="auto" w:sz="4" w:space="0"/>
              <w:left w:val="single" w:color="auto" w:sz="4" w:space="0"/>
              <w:right w:val="single" w:color="auto" w:sz="4" w:space="0"/>
            </w:tcBorders>
            <w:vAlign w:val="center"/>
          </w:tcPr>
          <w:p w14:paraId="50A61734">
            <w:pPr>
              <w:spacing w:line="400" w:lineRule="exact"/>
              <w:ind w:leftChars="-22" w:hanging="46" w:hangingChars="22"/>
              <w:rPr>
                <w:rFonts w:ascii="宋体" w:hAnsi="宋体"/>
                <w:color w:val="auto"/>
              </w:rPr>
            </w:pPr>
            <w:r>
              <w:rPr>
                <w:rFonts w:hint="eastAsia" w:ascii="宋体" w:hAnsi="宋体" w:cs="Arial"/>
                <w:color w:val="auto"/>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14:paraId="1FAF2C1D">
            <w:pPr>
              <w:autoSpaceDE w:val="0"/>
              <w:autoSpaceDN w:val="0"/>
              <w:adjustRightInd w:val="0"/>
              <w:jc w:val="center"/>
              <w:rPr>
                <w:rFonts w:ascii="宋体" w:hAnsi="宋体" w:cs="宋体"/>
                <w:color w:val="auto"/>
                <w:lang w:val="zh-CN"/>
              </w:rPr>
            </w:pPr>
            <w:r>
              <w:rPr>
                <w:rFonts w:hint="eastAsia" w:ascii="宋体" w:hAnsi="宋体" w:cs="宋体"/>
                <w:color w:val="auto"/>
                <w:lang w:val="zh-CN"/>
              </w:rPr>
              <w:t>资金来源（元）</w:t>
            </w:r>
          </w:p>
        </w:tc>
      </w:tr>
      <w:tr w14:paraId="4AEB2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14:paraId="693E2307">
            <w:pPr>
              <w:spacing w:line="400" w:lineRule="exact"/>
              <w:ind w:firstLine="210" w:firstLineChars="100"/>
              <w:rPr>
                <w:rFonts w:ascii="宋体" w:hAnsi="宋体" w:cs="Arial"/>
                <w:color w:val="auto"/>
              </w:rPr>
            </w:pPr>
          </w:p>
        </w:tc>
        <w:tc>
          <w:tcPr>
            <w:tcW w:w="1027" w:type="dxa"/>
            <w:vMerge w:val="continue"/>
            <w:tcBorders>
              <w:left w:val="single" w:color="auto" w:sz="4" w:space="0"/>
              <w:bottom w:val="single" w:color="auto" w:sz="4" w:space="0"/>
              <w:right w:val="single" w:color="auto" w:sz="4" w:space="0"/>
            </w:tcBorders>
            <w:vAlign w:val="center"/>
          </w:tcPr>
          <w:p w14:paraId="52BF5AA1">
            <w:pPr>
              <w:spacing w:line="400" w:lineRule="exact"/>
              <w:jc w:val="center"/>
              <w:rPr>
                <w:rFonts w:ascii="宋体" w:hAnsi="宋体" w:cs="Arial"/>
                <w:color w:val="auto"/>
              </w:rPr>
            </w:pPr>
          </w:p>
        </w:tc>
        <w:tc>
          <w:tcPr>
            <w:tcW w:w="604" w:type="dxa"/>
            <w:vMerge w:val="continue"/>
            <w:tcBorders>
              <w:left w:val="single" w:color="auto" w:sz="4" w:space="0"/>
              <w:bottom w:val="single" w:color="auto" w:sz="4" w:space="0"/>
              <w:right w:val="single" w:color="auto" w:sz="4" w:space="0"/>
            </w:tcBorders>
            <w:vAlign w:val="center"/>
          </w:tcPr>
          <w:p w14:paraId="7484A0DC">
            <w:pPr>
              <w:spacing w:line="400" w:lineRule="exact"/>
              <w:rPr>
                <w:rFonts w:ascii="宋体" w:hAnsi="宋体" w:cs="Arial"/>
                <w:color w:val="auto"/>
              </w:rPr>
            </w:pPr>
          </w:p>
        </w:tc>
        <w:tc>
          <w:tcPr>
            <w:tcW w:w="531" w:type="dxa"/>
            <w:vMerge w:val="continue"/>
            <w:tcBorders>
              <w:left w:val="single" w:color="auto" w:sz="4" w:space="0"/>
              <w:bottom w:val="single" w:color="auto" w:sz="4" w:space="0"/>
              <w:right w:val="single" w:color="auto" w:sz="4" w:space="0"/>
            </w:tcBorders>
            <w:vAlign w:val="center"/>
          </w:tcPr>
          <w:p w14:paraId="14ED3FA7">
            <w:pPr>
              <w:spacing w:line="400" w:lineRule="exact"/>
              <w:ind w:firstLine="105" w:firstLineChars="50"/>
              <w:rPr>
                <w:rFonts w:ascii="宋体" w:hAnsi="宋体" w:cs="Arial"/>
                <w:color w:val="auto"/>
              </w:rPr>
            </w:pPr>
          </w:p>
        </w:tc>
        <w:tc>
          <w:tcPr>
            <w:tcW w:w="1064" w:type="dxa"/>
            <w:vMerge w:val="continue"/>
            <w:tcBorders>
              <w:left w:val="single" w:color="auto" w:sz="4" w:space="0"/>
              <w:bottom w:val="single" w:color="auto" w:sz="4" w:space="0"/>
              <w:right w:val="single" w:color="auto" w:sz="4" w:space="0"/>
            </w:tcBorders>
            <w:vAlign w:val="center"/>
          </w:tcPr>
          <w:p w14:paraId="638A5F98">
            <w:pPr>
              <w:spacing w:line="400" w:lineRule="exact"/>
              <w:ind w:firstLine="105" w:firstLineChars="50"/>
              <w:jc w:val="center"/>
              <w:rPr>
                <w:rFonts w:ascii="宋体" w:hAnsi="宋体" w:cs="Arial"/>
                <w:color w:val="auto"/>
              </w:rPr>
            </w:pPr>
          </w:p>
        </w:tc>
        <w:tc>
          <w:tcPr>
            <w:tcW w:w="888" w:type="dxa"/>
            <w:vMerge w:val="continue"/>
            <w:tcBorders>
              <w:left w:val="single" w:color="auto" w:sz="4" w:space="0"/>
              <w:bottom w:val="single" w:color="auto" w:sz="4" w:space="0"/>
              <w:right w:val="single" w:color="auto" w:sz="4" w:space="0"/>
            </w:tcBorders>
            <w:vAlign w:val="center"/>
          </w:tcPr>
          <w:p w14:paraId="5E05061B">
            <w:pPr>
              <w:spacing w:line="400" w:lineRule="exact"/>
              <w:ind w:firstLine="210" w:firstLineChars="100"/>
              <w:rPr>
                <w:rFonts w:ascii="宋体" w:hAnsi="宋体" w:cs="Arial"/>
                <w:color w:val="auto"/>
              </w:rPr>
            </w:pPr>
          </w:p>
        </w:tc>
        <w:tc>
          <w:tcPr>
            <w:tcW w:w="917" w:type="dxa"/>
            <w:vMerge w:val="continue"/>
            <w:tcBorders>
              <w:left w:val="single" w:color="auto" w:sz="4" w:space="0"/>
              <w:bottom w:val="single" w:color="auto" w:sz="4" w:space="0"/>
              <w:right w:val="single" w:color="auto" w:sz="4" w:space="0"/>
            </w:tcBorders>
            <w:vAlign w:val="center"/>
          </w:tcPr>
          <w:p w14:paraId="30F4B1B7">
            <w:pPr>
              <w:spacing w:line="400" w:lineRule="exact"/>
              <w:jc w:val="center"/>
              <w:rPr>
                <w:rFonts w:ascii="宋体" w:hAnsi="宋体" w:cs="Arial"/>
                <w:color w:val="auto"/>
              </w:rPr>
            </w:pPr>
          </w:p>
        </w:tc>
        <w:tc>
          <w:tcPr>
            <w:tcW w:w="932" w:type="dxa"/>
            <w:vMerge w:val="continue"/>
            <w:tcBorders>
              <w:left w:val="single" w:color="auto" w:sz="4" w:space="0"/>
              <w:bottom w:val="single" w:color="auto" w:sz="4" w:space="0"/>
              <w:right w:val="single" w:color="auto" w:sz="4" w:space="0"/>
            </w:tcBorders>
            <w:vAlign w:val="center"/>
          </w:tcPr>
          <w:p w14:paraId="0E31D4CE">
            <w:pPr>
              <w:spacing w:line="400" w:lineRule="exact"/>
              <w:ind w:firstLine="105" w:firstLineChars="50"/>
              <w:rPr>
                <w:rFonts w:ascii="宋体" w:hAnsi="宋体" w:cs="Arial"/>
                <w:color w:val="auto"/>
              </w:rPr>
            </w:pPr>
          </w:p>
        </w:tc>
        <w:tc>
          <w:tcPr>
            <w:tcW w:w="483" w:type="dxa"/>
            <w:tcBorders>
              <w:top w:val="single" w:color="auto" w:sz="4" w:space="0"/>
              <w:left w:val="single" w:color="auto" w:sz="4" w:space="0"/>
              <w:bottom w:val="single" w:color="auto" w:sz="4" w:space="0"/>
              <w:right w:val="single" w:color="auto" w:sz="4" w:space="0"/>
            </w:tcBorders>
            <w:vAlign w:val="center"/>
          </w:tcPr>
          <w:p w14:paraId="4B7676E0">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14:paraId="53C419D3">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14:paraId="02CBB226">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自</w:t>
            </w:r>
          </w:p>
          <w:p w14:paraId="5B244FE1">
            <w:pPr>
              <w:autoSpaceDE w:val="0"/>
              <w:autoSpaceDN w:val="0"/>
              <w:adjustRightInd w:val="0"/>
              <w:jc w:val="center"/>
              <w:rPr>
                <w:rFonts w:ascii="宋体" w:hAnsi="宋体" w:cs="宋体"/>
                <w:color w:val="auto"/>
                <w:sz w:val="18"/>
                <w:szCs w:val="18"/>
                <w:lang w:val="zh-CN"/>
              </w:rPr>
            </w:pPr>
          </w:p>
          <w:p w14:paraId="2A2131C2">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14:paraId="1DFAF060">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其</w:t>
            </w:r>
          </w:p>
          <w:p w14:paraId="061DE30D">
            <w:pPr>
              <w:autoSpaceDE w:val="0"/>
              <w:autoSpaceDN w:val="0"/>
              <w:adjustRightInd w:val="0"/>
              <w:jc w:val="center"/>
              <w:rPr>
                <w:rFonts w:ascii="宋体" w:hAnsi="宋体" w:cs="宋体"/>
                <w:color w:val="auto"/>
                <w:sz w:val="18"/>
                <w:szCs w:val="18"/>
                <w:lang w:val="zh-CN"/>
              </w:rPr>
            </w:pPr>
          </w:p>
          <w:p w14:paraId="55A40CC9">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他</w:t>
            </w:r>
          </w:p>
        </w:tc>
      </w:tr>
      <w:tr w14:paraId="3D672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4EBFFEAB">
            <w:pPr>
              <w:spacing w:line="400" w:lineRule="exact"/>
              <w:jc w:val="center"/>
              <w:rPr>
                <w:rFonts w:ascii="宋体" w:hAnsi="宋体"/>
                <w:color w:val="auto"/>
                <w:sz w:val="24"/>
              </w:rPr>
            </w:pPr>
            <w:r>
              <w:rPr>
                <w:rFonts w:ascii="宋体" w:hAnsi="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22C3A392">
            <w:pPr>
              <w:spacing w:line="400" w:lineRule="exact"/>
              <w:jc w:val="center"/>
              <w:rPr>
                <w:rFonts w:ascii="宋体" w:hAnsi="宋体"/>
                <w:color w:val="auto"/>
                <w:sz w:val="24"/>
              </w:rPr>
            </w:pPr>
            <w:r>
              <w:rPr>
                <w:rFonts w:ascii="宋体" w:hAnsi="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7311AD52">
            <w:pPr>
              <w:spacing w:line="400" w:lineRule="exact"/>
              <w:jc w:val="center"/>
              <w:rPr>
                <w:rFonts w:ascii="宋体" w:hAnsi="宋体"/>
                <w:color w:val="auto"/>
                <w:sz w:val="24"/>
              </w:rPr>
            </w:pPr>
            <w:r>
              <w:rPr>
                <w:rFonts w:ascii="宋体" w:hAnsi="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2F74C70B">
            <w:pPr>
              <w:spacing w:line="400" w:lineRule="exact"/>
              <w:jc w:val="center"/>
              <w:rPr>
                <w:rFonts w:ascii="宋体" w:hAnsi="宋体"/>
                <w:color w:val="auto"/>
                <w:sz w:val="24"/>
              </w:rPr>
            </w:pPr>
            <w:r>
              <w:rPr>
                <w:rFonts w:ascii="宋体" w:hAnsi="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2D4FA666">
            <w:pPr>
              <w:spacing w:line="400" w:lineRule="exact"/>
              <w:jc w:val="center"/>
              <w:rPr>
                <w:rFonts w:ascii="宋体" w:hAnsi="宋体"/>
                <w:color w:val="auto"/>
                <w:sz w:val="24"/>
              </w:rPr>
            </w:pPr>
            <w:r>
              <w:rPr>
                <w:rFonts w:ascii="宋体" w:hAnsi="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6A3D6346">
            <w:pPr>
              <w:spacing w:line="400" w:lineRule="exact"/>
              <w:jc w:val="center"/>
              <w:rPr>
                <w:rFonts w:ascii="宋体" w:hAnsi="宋体"/>
                <w:color w:val="auto"/>
                <w:sz w:val="24"/>
              </w:rPr>
            </w:pPr>
            <w:r>
              <w:rPr>
                <w:rFonts w:ascii="宋体" w:hAnsi="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5149E746">
            <w:pPr>
              <w:spacing w:line="400" w:lineRule="exact"/>
              <w:jc w:val="center"/>
              <w:rPr>
                <w:rFonts w:ascii="宋体" w:hAnsi="宋体"/>
                <w:color w:val="auto"/>
                <w:sz w:val="24"/>
              </w:rPr>
            </w:pPr>
            <w:r>
              <w:rPr>
                <w:rFonts w:ascii="宋体" w:hAnsi="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73E02FE0">
            <w:pPr>
              <w:spacing w:line="400" w:lineRule="exact"/>
              <w:jc w:val="center"/>
              <w:rPr>
                <w:rFonts w:ascii="宋体" w:hAnsi="宋体"/>
                <w:color w:val="auto"/>
                <w:sz w:val="24"/>
              </w:rPr>
            </w:pPr>
            <w:r>
              <w:rPr>
                <w:rFonts w:ascii="宋体" w:hAnsi="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14:paraId="2DDE0417">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680AE90B">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3F904796">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16817719">
            <w:pPr>
              <w:spacing w:line="400" w:lineRule="exact"/>
              <w:jc w:val="center"/>
              <w:rPr>
                <w:rFonts w:ascii="宋体" w:hAnsi="宋体"/>
                <w:color w:val="auto"/>
                <w:sz w:val="24"/>
              </w:rPr>
            </w:pPr>
          </w:p>
        </w:tc>
      </w:tr>
      <w:tr w14:paraId="36981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06CBB19E">
            <w:pPr>
              <w:spacing w:line="400" w:lineRule="exact"/>
              <w:jc w:val="center"/>
              <w:rPr>
                <w:rFonts w:ascii="宋体" w:hAnsi="宋体"/>
                <w:color w:val="auto"/>
                <w:sz w:val="24"/>
              </w:rPr>
            </w:pPr>
            <w:r>
              <w:rPr>
                <w:rFonts w:ascii="宋体" w:hAnsi="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30B5F2E7">
            <w:pPr>
              <w:spacing w:line="400" w:lineRule="exact"/>
              <w:jc w:val="center"/>
              <w:rPr>
                <w:rFonts w:ascii="宋体" w:hAnsi="宋体"/>
                <w:color w:val="auto"/>
                <w:sz w:val="24"/>
              </w:rPr>
            </w:pPr>
            <w:r>
              <w:rPr>
                <w:rFonts w:ascii="宋体" w:hAnsi="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471F57B3">
            <w:pPr>
              <w:spacing w:line="400" w:lineRule="exact"/>
              <w:jc w:val="center"/>
              <w:rPr>
                <w:rFonts w:ascii="宋体" w:hAnsi="宋体"/>
                <w:color w:val="auto"/>
                <w:sz w:val="24"/>
              </w:rPr>
            </w:pPr>
            <w:r>
              <w:rPr>
                <w:rFonts w:ascii="宋体" w:hAnsi="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31841186">
            <w:pPr>
              <w:spacing w:line="400" w:lineRule="exact"/>
              <w:jc w:val="center"/>
              <w:rPr>
                <w:rFonts w:ascii="宋体" w:hAnsi="宋体"/>
                <w:color w:val="auto"/>
                <w:sz w:val="24"/>
              </w:rPr>
            </w:pPr>
            <w:r>
              <w:rPr>
                <w:rFonts w:ascii="宋体" w:hAnsi="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60F316AD">
            <w:pPr>
              <w:spacing w:line="400" w:lineRule="exact"/>
              <w:jc w:val="center"/>
              <w:rPr>
                <w:rFonts w:ascii="宋体" w:hAnsi="宋体"/>
                <w:color w:val="auto"/>
                <w:sz w:val="24"/>
              </w:rPr>
            </w:pPr>
            <w:r>
              <w:rPr>
                <w:rFonts w:ascii="宋体" w:hAnsi="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3547D252">
            <w:pPr>
              <w:spacing w:line="400" w:lineRule="exact"/>
              <w:jc w:val="center"/>
              <w:rPr>
                <w:rFonts w:ascii="宋体" w:hAnsi="宋体"/>
                <w:color w:val="auto"/>
                <w:sz w:val="24"/>
              </w:rPr>
            </w:pPr>
            <w:r>
              <w:rPr>
                <w:rFonts w:ascii="宋体" w:hAnsi="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6D7D82B7">
            <w:pPr>
              <w:spacing w:line="400" w:lineRule="exact"/>
              <w:jc w:val="center"/>
              <w:rPr>
                <w:rFonts w:ascii="宋体" w:hAnsi="宋体"/>
                <w:color w:val="auto"/>
                <w:sz w:val="24"/>
              </w:rPr>
            </w:pPr>
            <w:r>
              <w:rPr>
                <w:rFonts w:ascii="宋体" w:hAnsi="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48F333D0">
            <w:pPr>
              <w:spacing w:line="400" w:lineRule="exact"/>
              <w:jc w:val="center"/>
              <w:rPr>
                <w:rFonts w:ascii="宋体" w:hAnsi="宋体"/>
                <w:color w:val="auto"/>
                <w:sz w:val="24"/>
              </w:rPr>
            </w:pPr>
            <w:r>
              <w:rPr>
                <w:rFonts w:ascii="宋体" w:hAnsi="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14:paraId="077FEE43">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62B1C8FC">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2892DCFF">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41810355">
            <w:pPr>
              <w:spacing w:line="400" w:lineRule="exact"/>
              <w:jc w:val="center"/>
              <w:rPr>
                <w:rFonts w:ascii="宋体" w:hAnsi="宋体"/>
                <w:color w:val="auto"/>
                <w:sz w:val="24"/>
              </w:rPr>
            </w:pPr>
          </w:p>
        </w:tc>
      </w:tr>
    </w:tbl>
    <w:p w14:paraId="1DBE6727">
      <w:pPr>
        <w:rPr>
          <w:rFonts w:ascii="黑体" w:hAnsi="宋体"/>
          <w:b/>
          <w:color w:val="auto"/>
          <w:sz w:val="28"/>
          <w:szCs w:val="28"/>
        </w:rPr>
      </w:pPr>
    </w:p>
    <w:p w14:paraId="13DA4B55">
      <w:pPr>
        <w:spacing w:line="400" w:lineRule="exact"/>
        <w:rPr>
          <w:rFonts w:ascii="黑体" w:hAnsi="宋体"/>
          <w:b/>
          <w:color w:val="auto"/>
          <w:sz w:val="24"/>
        </w:rPr>
      </w:pPr>
      <w:r>
        <w:rPr>
          <w:rFonts w:hint="eastAsia" w:ascii="黑体" w:hAnsi="宋体"/>
          <w:b/>
          <w:color w:val="auto"/>
          <w:sz w:val="24"/>
        </w:rPr>
        <w:t>二、合同总价</w:t>
      </w:r>
    </w:p>
    <w:p w14:paraId="11B2AFA6">
      <w:pPr>
        <w:pStyle w:val="12"/>
        <w:spacing w:line="400" w:lineRule="exact"/>
        <w:ind w:firstLine="480"/>
        <w:rPr>
          <w:color w:val="auto"/>
        </w:rPr>
      </w:pPr>
      <w:r>
        <w:rPr>
          <w:rFonts w:hint="eastAsia"/>
          <w:color w:val="auto"/>
        </w:rPr>
        <w:t>合同总价为人民币大写：XXX元，即</w:t>
      </w:r>
      <w:r>
        <w:rPr>
          <w:color w:val="auto"/>
        </w:rPr>
        <w:t>RMB</w:t>
      </w:r>
      <w:r>
        <w:rPr>
          <w:rFonts w:hint="eastAsia"/>
          <w:color w:val="auto"/>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75FFAC29">
      <w:pPr>
        <w:tabs>
          <w:tab w:val="left" w:pos="2145"/>
        </w:tabs>
        <w:spacing w:line="400" w:lineRule="exact"/>
        <w:rPr>
          <w:rFonts w:ascii="黑体" w:hAnsi="宋体"/>
          <w:b/>
          <w:color w:val="auto"/>
          <w:sz w:val="24"/>
        </w:rPr>
      </w:pPr>
    </w:p>
    <w:p w14:paraId="61603A48">
      <w:pPr>
        <w:tabs>
          <w:tab w:val="left" w:pos="2145"/>
        </w:tabs>
        <w:rPr>
          <w:rFonts w:ascii="黑体" w:hAnsi="宋体"/>
          <w:b/>
          <w:color w:val="auto"/>
          <w:sz w:val="24"/>
        </w:rPr>
      </w:pPr>
      <w:r>
        <w:rPr>
          <w:rFonts w:hint="eastAsia" w:ascii="黑体" w:hAnsi="宋体"/>
          <w:b/>
          <w:color w:val="auto"/>
          <w:sz w:val="24"/>
        </w:rPr>
        <w:t>三、质量要求</w:t>
      </w:r>
      <w:r>
        <w:rPr>
          <w:rFonts w:ascii="黑体" w:hAnsi="宋体"/>
          <w:b/>
          <w:color w:val="auto"/>
          <w:sz w:val="24"/>
        </w:rPr>
        <w:tab/>
      </w:r>
    </w:p>
    <w:p w14:paraId="7C93F95C">
      <w:pPr>
        <w:pStyle w:val="81"/>
        <w:ind w:firstLine="480"/>
        <w:rPr>
          <w:rFonts w:ascii="宋体" w:hAnsi="宋体"/>
          <w:color w:val="auto"/>
        </w:rPr>
      </w:pPr>
      <w:r>
        <w:rPr>
          <w:rFonts w:ascii="宋体" w:hAnsi="宋体"/>
          <w:color w:val="auto"/>
        </w:rPr>
        <w:t>1</w:t>
      </w:r>
      <w:r>
        <w:rPr>
          <w:rFonts w:hint="eastAsia" w:ascii="宋体" w:hAnsi="宋体"/>
          <w:color w:val="auto"/>
        </w:rPr>
        <w:t>.乙方须提供全新的货物（含零部件、配件等），表面无划伤、无碰撞痕迹，且权属清楚，不得侵害他人的知识产权。</w:t>
      </w:r>
    </w:p>
    <w:p w14:paraId="7AA08CAA">
      <w:pPr>
        <w:pStyle w:val="81"/>
        <w:ind w:firstLine="480"/>
        <w:rPr>
          <w:rFonts w:ascii="宋体" w:hAnsi="宋体"/>
          <w:color w:val="auto"/>
        </w:rPr>
      </w:pPr>
      <w:r>
        <w:rPr>
          <w:rFonts w:hint="eastAsia" w:ascii="宋体" w:hAnsi="宋体"/>
          <w:color w:val="auto"/>
        </w:rPr>
        <w:t>2.货物必须符合或优于国家（行业）XXX标准，以及本项目谈判文件的质量要求和技术指标与出厂标准。</w:t>
      </w:r>
    </w:p>
    <w:p w14:paraId="4E951010">
      <w:pPr>
        <w:pStyle w:val="81"/>
        <w:ind w:firstLine="480"/>
        <w:rPr>
          <w:rFonts w:ascii="宋体" w:hAnsi="宋体"/>
          <w:color w:val="auto"/>
        </w:rPr>
      </w:pPr>
      <w:r>
        <w:rPr>
          <w:rFonts w:hint="eastAsia" w:ascii="宋体" w:hAnsi="宋体"/>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15BF5FE1">
      <w:pPr>
        <w:pStyle w:val="81"/>
        <w:ind w:firstLine="480"/>
        <w:rPr>
          <w:rFonts w:ascii="宋体" w:hAnsi="宋体"/>
          <w:color w:val="auto"/>
        </w:rPr>
      </w:pPr>
      <w:r>
        <w:rPr>
          <w:rFonts w:hint="eastAsia" w:ascii="宋体" w:hAnsi="宋体"/>
          <w:color w:val="auto"/>
        </w:rPr>
        <w:t>4.货物制造质量出现问题，乙方应负责三包（包修、包换、包退），费用由乙方负担，甲方有权到乙方生产场地检查货物质量和生产进度。</w:t>
      </w:r>
    </w:p>
    <w:p w14:paraId="50A0BA15">
      <w:pPr>
        <w:pStyle w:val="81"/>
        <w:ind w:firstLine="480"/>
        <w:rPr>
          <w:rFonts w:ascii="宋体" w:hAnsi="宋体"/>
          <w:color w:val="auto"/>
        </w:rPr>
      </w:pPr>
      <w:r>
        <w:rPr>
          <w:rFonts w:hint="eastAsia" w:ascii="宋体" w:hAnsi="宋体"/>
          <w:color w:val="auto"/>
        </w:rPr>
        <w:t>5.货物到现场后由于甲方保管不当造成的质量问题，乙方亦应负责修理，但费用由甲方负担。</w:t>
      </w:r>
    </w:p>
    <w:p w14:paraId="1466FBE4">
      <w:pPr>
        <w:rPr>
          <w:rFonts w:ascii="黑体" w:hAnsi="宋体"/>
          <w:b/>
          <w:color w:val="auto"/>
          <w:sz w:val="28"/>
          <w:szCs w:val="28"/>
        </w:rPr>
      </w:pPr>
    </w:p>
    <w:p w14:paraId="729856B4">
      <w:pPr>
        <w:ind w:firstLine="472" w:firstLineChars="196"/>
        <w:rPr>
          <w:rFonts w:ascii="黑体" w:hAnsi="宋体"/>
          <w:b/>
          <w:color w:val="auto"/>
          <w:sz w:val="24"/>
        </w:rPr>
      </w:pPr>
      <w:r>
        <w:rPr>
          <w:rFonts w:hint="eastAsia" w:ascii="黑体" w:hAnsi="宋体"/>
          <w:b/>
          <w:color w:val="auto"/>
          <w:sz w:val="24"/>
        </w:rPr>
        <w:t>四、交货及验收</w:t>
      </w:r>
    </w:p>
    <w:p w14:paraId="50E417ED">
      <w:pPr>
        <w:pStyle w:val="81"/>
        <w:ind w:firstLine="480"/>
        <w:rPr>
          <w:rFonts w:ascii="宋体" w:hAnsi="宋体"/>
          <w:color w:val="auto"/>
        </w:rPr>
      </w:pPr>
      <w:r>
        <w:rPr>
          <w:rFonts w:ascii="宋体" w:hAnsi="宋体"/>
          <w:color w:val="auto"/>
        </w:rPr>
        <w:t>1</w:t>
      </w:r>
      <w:r>
        <w:rPr>
          <w:rFonts w:hint="eastAsia" w:ascii="宋体" w:hAnsi="宋体"/>
          <w:color w:val="auto"/>
        </w:rPr>
        <w:t>.乙方交货期限为合同签订生效后的XXX日内，在合同签订生效之日起（XXX）天内交货到甲方指定地点，随即在XXX日内全部完成安装调试验收合格交付使用</w:t>
      </w:r>
      <w:r>
        <w:rPr>
          <w:rFonts w:ascii="宋体" w:hAnsi="宋体"/>
          <w:color w:val="auto"/>
        </w:rPr>
        <w:t xml:space="preserve"> (</w:t>
      </w:r>
      <w:r>
        <w:rPr>
          <w:rFonts w:hint="eastAsia" w:ascii="宋体" w:hAnsi="宋体"/>
          <w:color w:val="auto"/>
        </w:rPr>
        <w:t>如由于采购人的原因造成合同延迟签订或验收的，时间顺延</w:t>
      </w:r>
      <w:r>
        <w:rPr>
          <w:rFonts w:ascii="宋体" w:hAnsi="宋体"/>
          <w:color w:val="auto"/>
        </w:rPr>
        <w:t>)</w:t>
      </w:r>
      <w:r>
        <w:rPr>
          <w:rFonts w:hint="eastAsia" w:ascii="宋体" w:hAnsi="宋体"/>
          <w:color w:val="auto"/>
        </w:rPr>
        <w:t>。交货验收时须提供产品质检部门从同类产品中抽样检查合格的检测报告。</w:t>
      </w:r>
    </w:p>
    <w:p w14:paraId="25E291B5">
      <w:pPr>
        <w:pStyle w:val="81"/>
        <w:ind w:firstLine="480"/>
        <w:rPr>
          <w:rFonts w:ascii="宋体" w:hAnsi="宋体"/>
          <w:color w:val="auto"/>
        </w:rPr>
      </w:pPr>
      <w:r>
        <w:rPr>
          <w:rFonts w:ascii="宋体" w:hAnsi="宋体"/>
          <w:color w:val="auto"/>
        </w:rPr>
        <w:t>2</w:t>
      </w:r>
      <w:r>
        <w:rPr>
          <w:rFonts w:hint="eastAsia" w:ascii="宋体" w:hAnsi="宋体"/>
          <w:color w:val="auto"/>
        </w:rPr>
        <w:t>.验收由甲方组织，乙方配合进行：</w:t>
      </w:r>
    </w:p>
    <w:p w14:paraId="1A074C70">
      <w:pPr>
        <w:pStyle w:val="81"/>
        <w:ind w:firstLine="480"/>
        <w:rPr>
          <w:rFonts w:ascii="宋体" w:hAnsi="宋体"/>
          <w:color w:val="auto"/>
        </w:rPr>
      </w:pPr>
      <w:r>
        <w:rPr>
          <w:rFonts w:ascii="宋体" w:hAnsi="宋体"/>
          <w:color w:val="auto"/>
        </w:rPr>
        <w:t xml:space="preserve">(1) </w:t>
      </w:r>
      <w:r>
        <w:rPr>
          <w:rFonts w:hint="eastAsia" w:ascii="宋体" w:hAnsi="宋体"/>
          <w:color w:val="auto"/>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4560B7A2">
      <w:pPr>
        <w:pStyle w:val="81"/>
        <w:ind w:firstLine="480"/>
        <w:rPr>
          <w:rFonts w:ascii="宋体" w:hAnsi="宋体"/>
          <w:color w:val="auto"/>
        </w:rPr>
      </w:pPr>
      <w:r>
        <w:rPr>
          <w:rFonts w:ascii="宋体" w:hAnsi="宋体"/>
          <w:color w:val="auto"/>
        </w:rPr>
        <w:t xml:space="preserve">(2) </w:t>
      </w:r>
      <w:r>
        <w:rPr>
          <w:rFonts w:hint="eastAsia" w:ascii="宋体" w:hAnsi="宋体"/>
          <w:color w:val="auto"/>
        </w:rPr>
        <w:t>验收标准：按国家有关规定以及甲方谈判文件的质量要求和技术指标、乙方的投标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14:paraId="2D55A235">
      <w:pPr>
        <w:pStyle w:val="81"/>
        <w:ind w:firstLine="480"/>
        <w:rPr>
          <w:rFonts w:ascii="宋体" w:hAnsi="宋体"/>
          <w:color w:val="auto"/>
        </w:rPr>
      </w:pPr>
      <w:r>
        <w:rPr>
          <w:rFonts w:ascii="宋体" w:hAnsi="宋体"/>
          <w:color w:val="auto"/>
        </w:rPr>
        <w:t xml:space="preserve">(3) </w:t>
      </w:r>
      <w:r>
        <w:rPr>
          <w:rFonts w:hint="eastAsia" w:ascii="宋体" w:hAnsi="宋体"/>
          <w:color w:val="auto"/>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ED2B95C">
      <w:pPr>
        <w:pStyle w:val="81"/>
        <w:ind w:firstLine="480"/>
        <w:rPr>
          <w:rFonts w:ascii="宋体" w:hAnsi="宋体"/>
          <w:color w:val="auto"/>
        </w:rPr>
      </w:pPr>
      <w:r>
        <w:rPr>
          <w:rFonts w:hint="eastAsia" w:ascii="宋体" w:hAnsi="宋体"/>
          <w:color w:val="auto"/>
        </w:rPr>
        <w:t>(4)如质量验收合格，双方签署质量验收报告。</w:t>
      </w:r>
    </w:p>
    <w:p w14:paraId="75510655">
      <w:pPr>
        <w:pStyle w:val="81"/>
        <w:ind w:firstLine="480"/>
        <w:rPr>
          <w:rFonts w:ascii="宋体" w:hAnsi="宋体"/>
          <w:color w:val="auto"/>
        </w:rPr>
      </w:pPr>
      <w:r>
        <w:rPr>
          <w:rFonts w:ascii="宋体" w:hAnsi="宋体"/>
          <w:color w:val="auto"/>
        </w:rPr>
        <w:t>3</w:t>
      </w:r>
      <w:r>
        <w:rPr>
          <w:rFonts w:hint="eastAsia" w:ascii="宋体" w:hAnsi="宋体"/>
          <w:color w:val="auto"/>
        </w:rPr>
        <w:t>.货物安装调试完毕后XXX日内，甲方无故不进行验收工作并已使用货物的，视同验收合格。</w:t>
      </w:r>
    </w:p>
    <w:p w14:paraId="245850B2">
      <w:pPr>
        <w:pStyle w:val="81"/>
        <w:ind w:firstLine="480"/>
        <w:rPr>
          <w:rFonts w:ascii="宋体" w:hAnsi="宋体"/>
          <w:color w:val="auto"/>
        </w:rPr>
      </w:pPr>
      <w:r>
        <w:rPr>
          <w:rFonts w:ascii="宋体" w:hAnsi="宋体"/>
          <w:color w:val="auto"/>
        </w:rPr>
        <w:t>4</w:t>
      </w:r>
      <w:r>
        <w:rPr>
          <w:rFonts w:hint="eastAsia" w:ascii="宋体" w:hAnsi="宋体"/>
          <w:color w:val="auto"/>
        </w:rPr>
        <w:t>.乙方应将所提供货物的装箱清单、配件、随机工具、用户使用手册、原厂保修卡等资料交付给甲方；乙方不能完整交付货物及本款规定的单证和工具的，必须负责补齐，否则视为未按合同约定交货。</w:t>
      </w:r>
    </w:p>
    <w:p w14:paraId="61D298DB">
      <w:pPr>
        <w:pStyle w:val="81"/>
        <w:ind w:firstLine="480"/>
        <w:rPr>
          <w:rFonts w:ascii="宋体" w:hAnsi="宋体"/>
          <w:color w:val="auto"/>
        </w:rPr>
      </w:pPr>
      <w:r>
        <w:rPr>
          <w:rFonts w:ascii="宋体" w:hAnsi="宋体"/>
          <w:color w:val="auto"/>
        </w:rPr>
        <w:t>5</w:t>
      </w:r>
      <w:r>
        <w:rPr>
          <w:rFonts w:hint="eastAsia" w:ascii="宋体" w:hAnsi="宋体"/>
          <w:color w:val="auto"/>
        </w:rPr>
        <w:t>.如货物经乙方XXX次维修仍不能达到合同约定的质量标准，甲方有权退货，并视作乙方不能交付货物且须支付违约赔偿金给甲方，甲方还可依法追究乙方的违约责任。</w:t>
      </w:r>
    </w:p>
    <w:p w14:paraId="05B348FB">
      <w:pPr>
        <w:pStyle w:val="81"/>
        <w:ind w:firstLine="480"/>
        <w:rPr>
          <w:rFonts w:ascii="宋体" w:hAnsi="宋体"/>
          <w:color w:val="auto"/>
        </w:rPr>
      </w:pPr>
      <w:r>
        <w:rPr>
          <w:rFonts w:hint="eastAsia" w:ascii="宋体" w:hAnsi="宋体"/>
          <w:color w:val="auto"/>
        </w:rPr>
        <w:t>6.其他未尽事宜应严格按照</w:t>
      </w:r>
      <w:r>
        <w:rPr>
          <w:rFonts w:hint="eastAsia" w:ascii="宋体" w:hAnsi="宋体" w:cs="宋体"/>
          <w:bCs/>
          <w:color w:val="auto"/>
          <w:lang w:bidi="ar"/>
        </w:rPr>
        <w:t>《财政部关于进一步加强政府采购需求和履约验收管理的报导意见》（财库【2016】205 号）的要求进行验收</w:t>
      </w:r>
      <w:r>
        <w:rPr>
          <w:rFonts w:hint="eastAsia" w:ascii="宋体" w:hAnsi="宋体"/>
          <w:color w:val="auto"/>
        </w:rPr>
        <w:t>。</w:t>
      </w:r>
    </w:p>
    <w:p w14:paraId="40F5B6E3">
      <w:pPr>
        <w:ind w:firstLine="472" w:firstLineChars="196"/>
        <w:rPr>
          <w:rFonts w:ascii="黑体" w:hAnsi="宋体"/>
          <w:b/>
          <w:color w:val="auto"/>
          <w:sz w:val="24"/>
        </w:rPr>
      </w:pPr>
    </w:p>
    <w:p w14:paraId="40044072">
      <w:pPr>
        <w:ind w:firstLine="472" w:firstLineChars="196"/>
        <w:rPr>
          <w:rFonts w:ascii="黑体" w:hAnsi="宋体"/>
          <w:b/>
          <w:color w:val="auto"/>
          <w:sz w:val="24"/>
        </w:rPr>
      </w:pPr>
      <w:r>
        <w:rPr>
          <w:rFonts w:hint="eastAsia" w:ascii="黑体" w:hAnsi="宋体"/>
          <w:b/>
          <w:color w:val="auto"/>
          <w:sz w:val="24"/>
        </w:rPr>
        <w:t>五、付款方式</w:t>
      </w:r>
    </w:p>
    <w:p w14:paraId="4E6D38E3">
      <w:pPr>
        <w:pStyle w:val="81"/>
        <w:ind w:firstLine="480"/>
        <w:rPr>
          <w:rFonts w:ascii="宋体" w:hAnsi="宋体"/>
          <w:color w:val="auto"/>
        </w:rPr>
      </w:pPr>
      <w:r>
        <w:rPr>
          <w:rFonts w:ascii="宋体" w:hAnsi="宋体"/>
          <w:color w:val="auto"/>
        </w:rPr>
        <w:t>1</w:t>
      </w:r>
      <w:r>
        <w:rPr>
          <w:rFonts w:hint="eastAsia" w:ascii="宋体" w:hAnsi="宋体"/>
          <w:color w:val="auto"/>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309806E">
      <w:pPr>
        <w:pStyle w:val="81"/>
        <w:ind w:firstLine="480"/>
        <w:rPr>
          <w:rFonts w:ascii="宋体" w:hAnsi="宋体"/>
          <w:color w:val="auto"/>
        </w:rPr>
      </w:pPr>
      <w:r>
        <w:rPr>
          <w:rFonts w:ascii="宋体" w:hAnsi="宋体"/>
          <w:color w:val="auto"/>
        </w:rPr>
        <w:t>2</w:t>
      </w:r>
      <w:r>
        <w:rPr>
          <w:rFonts w:hint="eastAsia" w:ascii="宋体" w:hAnsi="宋体"/>
          <w:color w:val="auto"/>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288649A7">
      <w:pPr>
        <w:pStyle w:val="81"/>
        <w:ind w:firstLine="480"/>
        <w:rPr>
          <w:rFonts w:ascii="宋体" w:hAnsi="宋体"/>
          <w:color w:val="auto"/>
        </w:rPr>
      </w:pPr>
      <w:r>
        <w:rPr>
          <w:rFonts w:ascii="宋体" w:hAnsi="宋体"/>
          <w:color w:val="auto"/>
        </w:rPr>
        <w:t>3</w:t>
      </w:r>
      <w:r>
        <w:rPr>
          <w:rFonts w:hint="eastAsia" w:ascii="宋体" w:hAnsi="宋体"/>
          <w:color w:val="auto"/>
        </w:rPr>
        <w:t>.乙方须向甲方出具合法有效完整的完税发票及凭证资料进行支付结算。</w:t>
      </w:r>
    </w:p>
    <w:p w14:paraId="001438C3">
      <w:pPr>
        <w:pStyle w:val="81"/>
        <w:ind w:firstLine="480"/>
        <w:rPr>
          <w:rFonts w:ascii="宋体" w:hAnsi="宋体"/>
          <w:color w:val="auto"/>
        </w:rPr>
      </w:pPr>
      <w:r>
        <w:rPr>
          <w:rFonts w:hint="eastAsia"/>
          <w:color w:val="auto"/>
        </w:rPr>
        <w:t>4.履约保证金：</w:t>
      </w:r>
      <w:r>
        <w:rPr>
          <w:rFonts w:hint="eastAsia" w:ascii="宋体" w:hAnsi="宋体"/>
          <w:color w:val="auto"/>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1CEC0D9C">
      <w:pPr>
        <w:pStyle w:val="81"/>
        <w:ind w:firstLine="562"/>
        <w:rPr>
          <w:rFonts w:ascii="黑体"/>
          <w:b/>
          <w:color w:val="auto"/>
          <w:sz w:val="28"/>
          <w:szCs w:val="28"/>
        </w:rPr>
      </w:pPr>
    </w:p>
    <w:p w14:paraId="7E013051">
      <w:pPr>
        <w:pStyle w:val="81"/>
        <w:ind w:firstLine="482"/>
        <w:rPr>
          <w:rFonts w:ascii="黑体"/>
          <w:b/>
          <w:color w:val="auto"/>
        </w:rPr>
      </w:pPr>
      <w:r>
        <w:rPr>
          <w:rFonts w:hint="eastAsia" w:ascii="黑体"/>
          <w:b/>
          <w:color w:val="auto"/>
        </w:rPr>
        <w:t>六、售后服务</w:t>
      </w:r>
    </w:p>
    <w:p w14:paraId="1B4D6C09">
      <w:pPr>
        <w:pStyle w:val="81"/>
        <w:ind w:firstLine="480"/>
        <w:rPr>
          <w:rFonts w:ascii="宋体" w:hAnsi="宋体"/>
          <w:color w:val="auto"/>
        </w:rPr>
      </w:pPr>
      <w:r>
        <w:rPr>
          <w:rFonts w:ascii="宋体" w:hAnsi="宋体"/>
          <w:color w:val="auto"/>
        </w:rPr>
        <w:t>1</w:t>
      </w:r>
      <w:r>
        <w:rPr>
          <w:rFonts w:hint="eastAsia" w:ascii="宋体" w:hAnsi="宋体"/>
          <w:color w:val="auto"/>
        </w:rPr>
        <w:t>.质保期为验收合格后</w:t>
      </w:r>
      <w:r>
        <w:rPr>
          <w:rFonts w:hint="eastAsia"/>
          <w:color w:val="auto"/>
          <w:szCs w:val="21"/>
        </w:rPr>
        <w:t>XX</w:t>
      </w:r>
      <w:r>
        <w:rPr>
          <w:rFonts w:hint="eastAsia" w:ascii="宋体" w:hAnsi="宋体"/>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123E1A01">
      <w:pPr>
        <w:pStyle w:val="81"/>
        <w:ind w:firstLine="480"/>
        <w:rPr>
          <w:rFonts w:ascii="宋体" w:hAnsi="宋体"/>
          <w:color w:val="auto"/>
        </w:rPr>
      </w:pPr>
      <w:r>
        <w:rPr>
          <w:rFonts w:ascii="宋体" w:hAnsi="宋体"/>
          <w:color w:val="auto"/>
        </w:rPr>
        <w:t>2</w:t>
      </w:r>
      <w:r>
        <w:rPr>
          <w:rFonts w:hint="eastAsia" w:ascii="宋体" w:hAnsi="宋体"/>
          <w:color w:val="auto"/>
        </w:rPr>
        <w:t>.乙方须指派专人负责与甲方联系售后服务事宜。</w:t>
      </w:r>
      <w:r>
        <w:rPr>
          <w:rFonts w:ascii="宋体" w:hAnsi="宋体"/>
          <w:color w:val="auto"/>
        </w:rPr>
        <w:t> </w:t>
      </w:r>
    </w:p>
    <w:p w14:paraId="31EF3749">
      <w:pPr>
        <w:ind w:firstLine="472" w:firstLineChars="196"/>
        <w:rPr>
          <w:rFonts w:ascii="黑体" w:hAnsi="宋体"/>
          <w:b/>
          <w:color w:val="auto"/>
          <w:sz w:val="24"/>
        </w:rPr>
      </w:pPr>
    </w:p>
    <w:p w14:paraId="69F1C07A">
      <w:pPr>
        <w:ind w:firstLine="472" w:firstLineChars="196"/>
        <w:rPr>
          <w:rFonts w:ascii="黑体" w:hAnsi="宋体"/>
          <w:b/>
          <w:color w:val="auto"/>
          <w:sz w:val="24"/>
        </w:rPr>
      </w:pPr>
      <w:r>
        <w:rPr>
          <w:rFonts w:hint="eastAsia" w:ascii="黑体" w:hAnsi="宋体"/>
          <w:b/>
          <w:color w:val="auto"/>
          <w:sz w:val="24"/>
        </w:rPr>
        <w:t>七、违约责任</w:t>
      </w:r>
    </w:p>
    <w:p w14:paraId="224EA77D">
      <w:pPr>
        <w:pStyle w:val="81"/>
        <w:ind w:firstLine="480"/>
        <w:rPr>
          <w:rFonts w:ascii="宋体" w:hAnsi="宋体"/>
          <w:color w:val="auto"/>
        </w:rPr>
      </w:pPr>
      <w:r>
        <w:rPr>
          <w:rFonts w:ascii="宋体" w:hAnsi="宋体"/>
          <w:color w:val="auto"/>
        </w:rPr>
        <w:t>1</w:t>
      </w:r>
      <w:r>
        <w:rPr>
          <w:rFonts w:hint="eastAsia" w:ascii="宋体" w:hAnsi="宋体"/>
          <w:color w:val="auto"/>
        </w:rPr>
        <w:t>.甲方违约责任</w:t>
      </w:r>
    </w:p>
    <w:p w14:paraId="2AC5DFCA">
      <w:pPr>
        <w:pStyle w:val="81"/>
        <w:ind w:firstLine="48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）甲方无正当理由拒收货物的，甲方应偿付合同总价百分之XXX的违约金；</w:t>
      </w:r>
    </w:p>
    <w:p w14:paraId="2AD796E8">
      <w:pPr>
        <w:pStyle w:val="81"/>
        <w:ind w:firstLine="48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）甲方逾期支付货款的，除应及时付足货款外，</w:t>
      </w:r>
      <w:r>
        <w:rPr>
          <w:rFonts w:ascii="宋体" w:hAnsi="宋体"/>
          <w:color w:val="auto"/>
        </w:rPr>
        <w:t>应向乙方偿付欠款总额万分之</w:t>
      </w:r>
      <w:r>
        <w:rPr>
          <w:rFonts w:hint="eastAsia" w:ascii="宋体" w:hAnsi="宋体"/>
          <w:color w:val="auto"/>
        </w:rPr>
        <w:t>XXX</w:t>
      </w:r>
      <w:r>
        <w:rPr>
          <w:rFonts w:ascii="宋体" w:hAnsi="宋体"/>
          <w:color w:val="auto"/>
        </w:rPr>
        <w:t>/天</w:t>
      </w:r>
      <w:r>
        <w:rPr>
          <w:rFonts w:hint="eastAsia" w:ascii="宋体" w:hAnsi="宋体"/>
          <w:color w:val="auto"/>
        </w:rPr>
        <w:t>的违约金；逾期付款超过XXX天的，乙方有权终止合同；</w:t>
      </w:r>
    </w:p>
    <w:p w14:paraId="732D3C1D">
      <w:pPr>
        <w:pStyle w:val="81"/>
        <w:ind w:firstLine="48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w:t>
      </w:r>
      <w:r>
        <w:rPr>
          <w:rFonts w:ascii="宋体" w:hAnsi="宋体"/>
          <w:color w:val="auto"/>
        </w:rPr>
        <w:t xml:space="preserve"> </w:t>
      </w:r>
      <w:r>
        <w:rPr>
          <w:rFonts w:hint="eastAsia" w:ascii="宋体" w:hAnsi="宋体"/>
          <w:color w:val="auto"/>
        </w:rPr>
        <w:t>甲方偿付的违约金不足以弥补乙方损失的，还应按乙方损失尚未弥补的部分，支付赔偿金给乙方。</w:t>
      </w:r>
    </w:p>
    <w:p w14:paraId="7F317751">
      <w:pPr>
        <w:pStyle w:val="81"/>
        <w:ind w:firstLine="480"/>
        <w:rPr>
          <w:rFonts w:ascii="宋体" w:hAnsi="宋体"/>
          <w:color w:val="auto"/>
        </w:rPr>
      </w:pPr>
      <w:r>
        <w:rPr>
          <w:rFonts w:ascii="宋体" w:hAnsi="宋体"/>
          <w:color w:val="auto"/>
        </w:rPr>
        <w:t>2</w:t>
      </w:r>
      <w:r>
        <w:rPr>
          <w:rFonts w:hint="eastAsia" w:ascii="宋体" w:hAnsi="宋体"/>
          <w:color w:val="auto"/>
        </w:rPr>
        <w:t>.乙方违约责任</w:t>
      </w:r>
    </w:p>
    <w:p w14:paraId="51E35319">
      <w:pPr>
        <w:pStyle w:val="81"/>
        <w:ind w:firstLine="48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2A5DB2B9">
      <w:pPr>
        <w:pStyle w:val="81"/>
        <w:ind w:firstLine="48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）乙方不能交付货物或逾期交付货物而违约的，除应及时交足货物外，</w:t>
      </w:r>
      <w:r>
        <w:rPr>
          <w:rFonts w:ascii="宋体" w:hAnsi="宋体"/>
          <w:color w:val="auto"/>
        </w:rPr>
        <w:t>应向甲方偿付逾期交货部分货款总额的万分之</w:t>
      </w:r>
      <w:r>
        <w:rPr>
          <w:rFonts w:hint="eastAsia" w:ascii="宋体" w:hAnsi="宋体"/>
          <w:color w:val="auto"/>
        </w:rPr>
        <w:t>XXX</w:t>
      </w:r>
      <w:r>
        <w:rPr>
          <w:rFonts w:ascii="宋体" w:hAnsi="宋体"/>
          <w:color w:val="auto"/>
        </w:rPr>
        <w:t>/天</w:t>
      </w:r>
      <w:r>
        <w:rPr>
          <w:rFonts w:hint="eastAsia" w:ascii="宋体" w:hAnsi="宋体"/>
          <w:color w:val="auto"/>
        </w:rPr>
        <w:t>的违约金；逾期交货超过</w:t>
      </w:r>
      <w:r>
        <w:rPr>
          <w:rFonts w:hint="eastAsia"/>
          <w:color w:val="auto"/>
          <w:szCs w:val="21"/>
        </w:rPr>
        <w:t>XX</w:t>
      </w:r>
      <w:r>
        <w:rPr>
          <w:rFonts w:hint="eastAsia" w:ascii="宋体" w:hAnsi="宋体"/>
          <w:color w:val="auto"/>
        </w:rPr>
        <w:t>天，甲方有权终止合同，乙方则应按合同总价的百分之XXX的款额向甲方偿付赔偿金，并须全额退还甲方已经付给乙方的货款及其利息。</w:t>
      </w:r>
    </w:p>
    <w:p w14:paraId="1C0F2D26">
      <w:pPr>
        <w:pStyle w:val="81"/>
        <w:ind w:firstLine="48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2903D01">
      <w:pPr>
        <w:pStyle w:val="81"/>
        <w:ind w:firstLine="480"/>
        <w:rPr>
          <w:rFonts w:ascii="宋体" w:hAnsi="宋体"/>
          <w:color w:val="auto"/>
        </w:rPr>
      </w:pPr>
      <w:r>
        <w:rPr>
          <w:rFonts w:hint="eastAsia" w:ascii="宋体" w:hAnsi="宋体"/>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20D00394">
      <w:pPr>
        <w:pStyle w:val="81"/>
        <w:ind w:firstLine="480"/>
        <w:rPr>
          <w:rFonts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）乙方偿付的违约金不足以弥补甲方损失的，还应按甲方损失尚未弥补的部分，支付赔偿金给甲方。</w:t>
      </w:r>
    </w:p>
    <w:p w14:paraId="336876CD">
      <w:pPr>
        <w:ind w:firstLine="361" w:firstLineChars="150"/>
        <w:rPr>
          <w:rFonts w:ascii="宋体" w:hAnsi="宋体"/>
          <w:b/>
          <w:color w:val="auto"/>
          <w:sz w:val="24"/>
        </w:rPr>
      </w:pPr>
    </w:p>
    <w:p w14:paraId="674F20AE">
      <w:pPr>
        <w:ind w:firstLine="479" w:firstLineChars="199"/>
        <w:rPr>
          <w:rFonts w:ascii="宋体" w:hAnsi="宋体"/>
          <w:b/>
          <w:color w:val="auto"/>
          <w:sz w:val="24"/>
        </w:rPr>
      </w:pPr>
      <w:r>
        <w:rPr>
          <w:rFonts w:hint="eastAsia" w:ascii="宋体" w:hAnsi="宋体"/>
          <w:b/>
          <w:color w:val="auto"/>
          <w:sz w:val="24"/>
        </w:rPr>
        <w:t>八、争议解决办法</w:t>
      </w:r>
    </w:p>
    <w:p w14:paraId="28F30447">
      <w:pPr>
        <w:pStyle w:val="81"/>
        <w:ind w:firstLine="480"/>
        <w:rPr>
          <w:rFonts w:ascii="宋体" w:hAnsi="宋体"/>
          <w:color w:val="auto"/>
        </w:rPr>
      </w:pPr>
      <w:r>
        <w:rPr>
          <w:rFonts w:ascii="宋体" w:hAnsi="宋体"/>
          <w:color w:val="auto"/>
        </w:rPr>
        <w:t>1</w:t>
      </w:r>
      <w:r>
        <w:rPr>
          <w:rFonts w:hint="eastAsia" w:ascii="宋体" w:hAnsi="宋体"/>
          <w:color w:val="auto"/>
        </w:rPr>
        <w:t>.因货物的质量问题发生争议，由质量技术监督部门或其指定的质量鉴定机构进行质量鉴定。货物符合标准的，鉴定费由甲方承担；货物不符合质量标准的，鉴定费由乙方承担。</w:t>
      </w:r>
    </w:p>
    <w:p w14:paraId="4AFC7083">
      <w:pPr>
        <w:pStyle w:val="81"/>
        <w:ind w:firstLine="480"/>
        <w:rPr>
          <w:rFonts w:ascii="宋体" w:hAnsi="宋体"/>
          <w:color w:val="auto"/>
        </w:rPr>
      </w:pPr>
      <w:r>
        <w:rPr>
          <w:rFonts w:ascii="宋体" w:hAnsi="宋体"/>
          <w:color w:val="auto"/>
        </w:rPr>
        <w:t>2</w:t>
      </w:r>
      <w:r>
        <w:rPr>
          <w:rFonts w:hint="eastAsia" w:ascii="宋体" w:hAnsi="宋体"/>
          <w:color w:val="auto"/>
        </w:rPr>
        <w:t>.合同履行期间</w:t>
      </w:r>
      <w:r>
        <w:rPr>
          <w:rFonts w:ascii="宋体" w:hAnsi="宋体"/>
          <w:color w:val="auto"/>
        </w:rPr>
        <w:t>,</w:t>
      </w:r>
      <w:r>
        <w:rPr>
          <w:rFonts w:hint="eastAsia" w:ascii="宋体" w:hAnsi="宋体"/>
          <w:color w:val="auto"/>
        </w:rPr>
        <w:t>若双方发生争议，可协商或由有关部门调解解决，协商或调解不成的，由当事人依法维护其合法权益。</w:t>
      </w:r>
    </w:p>
    <w:p w14:paraId="49902B7F">
      <w:pPr>
        <w:ind w:firstLine="361" w:firstLineChars="150"/>
        <w:rPr>
          <w:rFonts w:ascii="宋体" w:hAnsi="宋体"/>
          <w:b/>
          <w:color w:val="auto"/>
          <w:sz w:val="24"/>
        </w:rPr>
      </w:pPr>
    </w:p>
    <w:p w14:paraId="0D51A333">
      <w:pPr>
        <w:ind w:firstLine="360" w:firstLineChars="128"/>
        <w:rPr>
          <w:rFonts w:ascii="黑体" w:hAnsi="宋体"/>
          <w:b/>
          <w:color w:val="auto"/>
          <w:sz w:val="28"/>
          <w:szCs w:val="28"/>
        </w:rPr>
      </w:pPr>
      <w:r>
        <w:rPr>
          <w:rFonts w:hint="eastAsia" w:ascii="黑体" w:hAnsi="宋体"/>
          <w:b/>
          <w:color w:val="auto"/>
          <w:sz w:val="28"/>
          <w:szCs w:val="28"/>
        </w:rPr>
        <w:t>九、其他</w:t>
      </w:r>
    </w:p>
    <w:p w14:paraId="6E9172D9">
      <w:pPr>
        <w:pStyle w:val="81"/>
        <w:ind w:firstLine="480"/>
        <w:rPr>
          <w:rFonts w:ascii="宋体" w:hAnsi="宋体"/>
          <w:color w:val="auto"/>
        </w:rPr>
      </w:pPr>
      <w:r>
        <w:rPr>
          <w:rFonts w:ascii="宋体" w:hAnsi="宋体"/>
          <w:color w:val="auto"/>
        </w:rPr>
        <w:t>1</w:t>
      </w:r>
      <w:r>
        <w:rPr>
          <w:rFonts w:hint="eastAsia" w:ascii="宋体" w:hAnsi="宋体"/>
          <w:color w:val="auto"/>
        </w:rPr>
        <w:t>.如有未尽事宜，由双方依法订立补充合同。</w:t>
      </w:r>
    </w:p>
    <w:p w14:paraId="212A7954">
      <w:pPr>
        <w:pStyle w:val="81"/>
        <w:ind w:firstLine="480"/>
        <w:rPr>
          <w:rFonts w:ascii="宋体" w:hAnsi="宋体"/>
          <w:color w:val="auto"/>
        </w:rPr>
      </w:pPr>
      <w:r>
        <w:rPr>
          <w:rFonts w:ascii="宋体" w:hAnsi="宋体"/>
          <w:color w:val="auto"/>
        </w:rPr>
        <w:t>2</w:t>
      </w:r>
      <w:r>
        <w:rPr>
          <w:rFonts w:hint="eastAsia" w:ascii="宋体" w:hAnsi="宋体"/>
          <w:color w:val="auto"/>
        </w:rPr>
        <w:t>.本合同双方应加盖骑缝章。</w:t>
      </w:r>
    </w:p>
    <w:p w14:paraId="5ADD78D7">
      <w:pPr>
        <w:pStyle w:val="81"/>
        <w:ind w:firstLine="480"/>
        <w:rPr>
          <w:rFonts w:ascii="宋体" w:hAnsi="宋体"/>
          <w:color w:val="auto"/>
        </w:rPr>
      </w:pPr>
      <w:r>
        <w:rPr>
          <w:rFonts w:hint="eastAsia" w:ascii="宋体" w:hAnsi="宋体"/>
          <w:color w:val="auto"/>
        </w:rPr>
        <w:t>3.本合同一式四份，自双方签章后生效。甲方、乙方、采购代理机构各一份。</w:t>
      </w:r>
    </w:p>
    <w:p w14:paraId="3CD3714C">
      <w:pPr>
        <w:pStyle w:val="165"/>
        <w:spacing w:line="360" w:lineRule="auto"/>
        <w:ind w:firstLine="480"/>
        <w:rPr>
          <w:rFonts w:ascii="宋体" w:hAnsi="宋体"/>
          <w:color w:val="auto"/>
          <w:sz w:val="24"/>
        </w:rPr>
      </w:pPr>
    </w:p>
    <w:p w14:paraId="62CC3C6F">
      <w:pPr>
        <w:spacing w:line="400" w:lineRule="exact"/>
        <w:ind w:firstLine="480" w:firstLineChars="200"/>
        <w:rPr>
          <w:rFonts w:ascii="宋体" w:hAnsi="宋体"/>
          <w:color w:val="auto"/>
          <w:sz w:val="24"/>
        </w:rPr>
      </w:pPr>
      <w:r>
        <w:rPr>
          <w:rFonts w:hint="eastAsia" w:ascii="宋体" w:hAnsi="宋体"/>
          <w:color w:val="auto"/>
          <w:sz w:val="24"/>
        </w:rPr>
        <w:t>甲方：   （盖单位公章）</w:t>
      </w:r>
      <w:r>
        <w:rPr>
          <w:rFonts w:ascii="宋体" w:hAnsi="宋体"/>
          <w:color w:val="auto"/>
          <w:sz w:val="24"/>
        </w:rPr>
        <w:t xml:space="preserve">   </w:t>
      </w:r>
      <w:r>
        <w:rPr>
          <w:rFonts w:ascii="宋体" w:hAnsi="宋体"/>
          <w:color w:val="auto"/>
          <w:sz w:val="24"/>
        </w:rPr>
        <w:tab/>
      </w:r>
      <w:r>
        <w:rPr>
          <w:rFonts w:ascii="宋体" w:hAnsi="宋体"/>
          <w:color w:val="auto"/>
          <w:sz w:val="24"/>
        </w:rPr>
        <w:tab/>
      </w:r>
      <w:r>
        <w:rPr>
          <w:rFonts w:ascii="宋体" w:hAnsi="宋体"/>
          <w:color w:val="auto"/>
          <w:sz w:val="24"/>
        </w:rPr>
        <w:t xml:space="preserve"> </w:t>
      </w:r>
      <w:r>
        <w:rPr>
          <w:rFonts w:hint="eastAsia" w:ascii="宋体" w:hAnsi="宋体"/>
          <w:color w:val="auto"/>
          <w:sz w:val="24"/>
        </w:rPr>
        <w:t xml:space="preserve">   乙方：</w:t>
      </w:r>
      <w:r>
        <w:rPr>
          <w:rFonts w:ascii="宋体" w:hAnsi="宋体"/>
          <w:color w:val="auto"/>
          <w:sz w:val="24"/>
        </w:rPr>
        <w:t xml:space="preserve">   </w:t>
      </w:r>
      <w:r>
        <w:rPr>
          <w:rFonts w:hint="eastAsia" w:ascii="宋体" w:hAnsi="宋体"/>
          <w:color w:val="auto"/>
          <w:sz w:val="24"/>
        </w:rPr>
        <w:t>（盖单位公章）</w:t>
      </w:r>
    </w:p>
    <w:p w14:paraId="51168430">
      <w:pPr>
        <w:spacing w:line="400" w:lineRule="exact"/>
        <w:ind w:firstLine="480" w:firstLineChars="200"/>
        <w:rPr>
          <w:rFonts w:ascii="宋体" w:hAnsi="宋体"/>
          <w:color w:val="auto"/>
          <w:sz w:val="24"/>
        </w:rPr>
      </w:pPr>
      <w:r>
        <w:rPr>
          <w:rFonts w:hint="eastAsia" w:ascii="宋体" w:hAnsi="宋体"/>
          <w:color w:val="auto"/>
          <w:sz w:val="24"/>
        </w:rPr>
        <w:t>法定代表人（授权代表）：</w:t>
      </w:r>
      <w:r>
        <w:rPr>
          <w:rFonts w:ascii="宋体" w:hAnsi="宋体"/>
          <w:color w:val="auto"/>
          <w:sz w:val="24"/>
        </w:rPr>
        <w:t xml:space="preserve">           </w:t>
      </w:r>
      <w:r>
        <w:rPr>
          <w:rFonts w:hint="eastAsia" w:ascii="宋体" w:hAnsi="宋体"/>
          <w:color w:val="auto"/>
          <w:sz w:val="24"/>
        </w:rPr>
        <w:t>法定代表人（授权代表）：</w:t>
      </w:r>
    </w:p>
    <w:p w14:paraId="75E95E28">
      <w:pPr>
        <w:spacing w:line="400" w:lineRule="exact"/>
        <w:ind w:firstLine="480" w:firstLineChars="200"/>
        <w:rPr>
          <w:rFonts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ascii="宋体" w:hAnsi="宋体"/>
          <w:color w:val="auto"/>
          <w:sz w:val="24"/>
        </w:rPr>
        <w:t xml:space="preserve">                         </w:t>
      </w: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p>
    <w:p w14:paraId="708C86AB">
      <w:pPr>
        <w:spacing w:line="400" w:lineRule="exact"/>
        <w:ind w:firstLine="480" w:firstLineChars="200"/>
        <w:rPr>
          <w:rFonts w:ascii="宋体" w:hAnsi="宋体"/>
          <w:color w:val="auto"/>
          <w:sz w:val="24"/>
        </w:rPr>
      </w:pPr>
      <w:r>
        <w:rPr>
          <w:rFonts w:hint="eastAsia" w:ascii="宋体" w:hAnsi="宋体"/>
          <w:color w:val="auto"/>
          <w:sz w:val="24"/>
        </w:rPr>
        <w:t>开户银行：</w:t>
      </w:r>
      <w:r>
        <w:rPr>
          <w:rFonts w:ascii="宋体" w:hAnsi="宋体"/>
          <w:color w:val="auto"/>
          <w:sz w:val="24"/>
        </w:rPr>
        <w:t xml:space="preserve">                         </w:t>
      </w:r>
      <w:r>
        <w:rPr>
          <w:rFonts w:hint="eastAsia" w:ascii="宋体" w:hAnsi="宋体"/>
          <w:color w:val="auto"/>
          <w:sz w:val="24"/>
        </w:rPr>
        <w:t>开户银行：</w:t>
      </w:r>
    </w:p>
    <w:p w14:paraId="1E142CBE">
      <w:pPr>
        <w:spacing w:line="400" w:lineRule="exact"/>
        <w:ind w:firstLine="480" w:firstLineChars="200"/>
        <w:rPr>
          <w:rFonts w:ascii="宋体" w:hAnsi="宋体"/>
          <w:color w:val="auto"/>
          <w:sz w:val="24"/>
        </w:rPr>
      </w:pPr>
      <w:r>
        <w:rPr>
          <w:rFonts w:hint="eastAsia" w:ascii="宋体" w:hAnsi="宋体"/>
          <w:color w:val="auto"/>
          <w:sz w:val="24"/>
        </w:rPr>
        <w:t>账号：</w:t>
      </w:r>
      <w:r>
        <w:rPr>
          <w:rFonts w:ascii="宋体" w:hAnsi="宋体"/>
          <w:color w:val="auto"/>
          <w:sz w:val="24"/>
        </w:rPr>
        <w:t xml:space="preserve">                             </w:t>
      </w:r>
      <w:r>
        <w:rPr>
          <w:rFonts w:hint="eastAsia" w:ascii="宋体" w:hAnsi="宋体"/>
          <w:color w:val="auto"/>
          <w:sz w:val="24"/>
        </w:rPr>
        <w:t>账号：</w:t>
      </w:r>
    </w:p>
    <w:p w14:paraId="43A4A0C6">
      <w:pPr>
        <w:spacing w:line="400" w:lineRule="exact"/>
        <w:ind w:firstLine="480" w:firstLineChars="200"/>
        <w:rPr>
          <w:rFonts w:ascii="宋体" w:hAnsi="宋体"/>
          <w:color w:val="auto"/>
          <w:sz w:val="24"/>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ascii="宋体" w:hAnsi="宋体"/>
          <w:color w:val="auto"/>
          <w:sz w:val="24"/>
        </w:rPr>
        <w:t xml:space="preserve">                         </w:t>
      </w: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p>
    <w:p w14:paraId="5DCC2FA3">
      <w:pPr>
        <w:spacing w:line="400" w:lineRule="exact"/>
        <w:ind w:firstLine="480" w:firstLineChars="200"/>
        <w:rPr>
          <w:rFonts w:ascii="宋体" w:hAnsi="宋体"/>
          <w:color w:val="auto"/>
          <w:sz w:val="24"/>
        </w:rPr>
      </w:pPr>
      <w:r>
        <w:rPr>
          <w:rFonts w:hint="eastAsia" w:ascii="宋体" w:hAnsi="宋体"/>
          <w:color w:val="auto"/>
          <w:sz w:val="24"/>
        </w:rPr>
        <w:t>传</w:t>
      </w:r>
      <w:r>
        <w:rPr>
          <w:rFonts w:ascii="宋体" w:hAnsi="宋体"/>
          <w:color w:val="auto"/>
          <w:sz w:val="24"/>
        </w:rPr>
        <w:t xml:space="preserve">    </w:t>
      </w:r>
      <w:r>
        <w:rPr>
          <w:rFonts w:hint="eastAsia" w:ascii="宋体" w:hAnsi="宋体"/>
          <w:color w:val="auto"/>
          <w:sz w:val="24"/>
        </w:rPr>
        <w:t>真：</w:t>
      </w:r>
      <w:r>
        <w:rPr>
          <w:rFonts w:ascii="宋体" w:hAnsi="宋体"/>
          <w:color w:val="auto"/>
          <w:sz w:val="24"/>
        </w:rPr>
        <w:t xml:space="preserve">                         </w:t>
      </w:r>
      <w:r>
        <w:rPr>
          <w:rFonts w:hint="eastAsia" w:ascii="宋体" w:hAnsi="宋体"/>
          <w:color w:val="auto"/>
          <w:sz w:val="24"/>
        </w:rPr>
        <w:t>传</w:t>
      </w:r>
      <w:r>
        <w:rPr>
          <w:rFonts w:ascii="宋体" w:hAnsi="宋体"/>
          <w:color w:val="auto"/>
          <w:sz w:val="24"/>
        </w:rPr>
        <w:t xml:space="preserve">    </w:t>
      </w:r>
      <w:r>
        <w:rPr>
          <w:rFonts w:hint="eastAsia" w:ascii="宋体" w:hAnsi="宋体"/>
          <w:color w:val="auto"/>
          <w:sz w:val="24"/>
        </w:rPr>
        <w:t>真：</w:t>
      </w:r>
    </w:p>
    <w:p w14:paraId="0A9497AB">
      <w:pPr>
        <w:spacing w:line="400" w:lineRule="exact"/>
        <w:ind w:firstLine="420" w:firstLineChars="200"/>
        <w:rPr>
          <w:color w:val="auto"/>
        </w:rPr>
      </w:pPr>
      <w:r>
        <w:rPr>
          <w:rFonts w:hint="eastAsia"/>
          <w:color w:val="auto"/>
        </w:rPr>
        <w:t>签约日期：XX年XX月XX日</w:t>
      </w:r>
      <w:r>
        <w:rPr>
          <w:color w:val="auto"/>
        </w:rPr>
        <w:t xml:space="preserve"> </w:t>
      </w:r>
      <w:r>
        <w:rPr>
          <w:color w:val="auto"/>
        </w:rPr>
        <w:tab/>
      </w:r>
      <w:r>
        <w:rPr>
          <w:color w:val="auto"/>
        </w:rPr>
        <w:tab/>
      </w:r>
      <w:r>
        <w:rPr>
          <w:color w:val="auto"/>
        </w:rPr>
        <w:tab/>
      </w:r>
      <w:r>
        <w:rPr>
          <w:rFonts w:hint="eastAsia"/>
          <w:color w:val="auto"/>
        </w:rPr>
        <w:t>签约日期：XX年XX月XX日</w:t>
      </w:r>
    </w:p>
    <w:p w14:paraId="6E0A1556">
      <w:pPr>
        <w:rPr>
          <w:color w:val="auto"/>
        </w:rPr>
      </w:pPr>
    </w:p>
    <w:sectPr>
      <w:footerReference r:id="rId9"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D80F">
    <w:pPr>
      <w:pStyle w:val="27"/>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4017">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D653">
    <w:pPr>
      <w:pStyle w:val="27"/>
      <w:jc w:val="center"/>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B793A">
                          <w:pPr>
                            <w:pStyle w:val="2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14:paraId="5B3B793A">
                    <w:pPr>
                      <w:pStyle w:val="27"/>
                    </w:pPr>
                    <w:r>
                      <w:fldChar w:fldCharType="begin"/>
                    </w:r>
                    <w:r>
                      <w:instrText xml:space="preserve"> PAGE  \* MERGEFORMAT </w:instrText>
                    </w:r>
                    <w:r>
                      <w:fldChar w:fldCharType="separate"/>
                    </w:r>
                    <w:r>
                      <w:t>2</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56A84">
                          <w:pPr>
                            <w:pStyle w:val="27"/>
                            <w:rPr>
                              <w:rFonts w:hint="default" w:eastAsia="宋体"/>
                              <w:lang w:val="en-US" w:eastAsia="zh-CN"/>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6DC56A84">
                    <w:pPr>
                      <w:pStyle w:val="27"/>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92A9">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F0D7E6">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c3l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5zeUyQEAAJoDAAAOAAAAAAAAAAEAIAAAAB4BAABkcnMvZTJvRG9j&#10;LnhtbFBLBQYAAAAABgAGAFkBAABZBQAAAAA=&#10;">
              <v:fill on="f" focussize="0,0"/>
              <v:stroke on="f"/>
              <v:imagedata o:title=""/>
              <o:lock v:ext="edit" aspectratio="f"/>
              <v:textbox inset="0mm,0mm,0mm,0mm" style="mso-fit-shape-to-text:t;">
                <w:txbxContent>
                  <w:p w14:paraId="66F0D7E6">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F2A652">
                          <w:pPr>
                            <w:pStyle w:val="27"/>
                            <w:rPr>
                              <w:rFonts w:hint="default" w:eastAsia="宋体"/>
                              <w:lang w:val="en-US" w:eastAsia="zh-CN"/>
                            </w:rPr>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7DF2A652">
                    <w:pPr>
                      <w:pStyle w:val="27"/>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66A2">
    <w:pPr>
      <w:pStyle w:val="27"/>
      <w:jc w:val="center"/>
      <w:rPr>
        <w:rFonts w:ascii="宋体"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198E5">
                          <w:pPr>
                            <w:pStyle w:val="27"/>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Uc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lRzyQEAAJoDAAAOAAAAAAAAAAEAIAAAAB4BAABkcnMvZTJvRG9j&#10;LnhtbFBLBQYAAAAABgAGAFkBAABZBQAAAAA=&#10;">
              <v:fill on="f" focussize="0,0"/>
              <v:stroke on="f"/>
              <v:imagedata o:title=""/>
              <o:lock v:ext="edit" aspectratio="f"/>
              <v:textbox inset="0mm,0mm,0mm,0mm" style="mso-fit-shape-to-text:t;">
                <w:txbxContent>
                  <w:p w14:paraId="35E198E5">
                    <w:pPr>
                      <w:pStyle w:val="2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D292">
    <w:pPr>
      <w:pStyle w:val="2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180E2D">
                          <w:pPr>
                            <w:pStyle w:val="27"/>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bM7MkBAACa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1JszsyQEAAJoDAAAOAAAAAAAAAAEAIAAAAB4BAABkcnMvZTJvRG9j&#10;LnhtbFBLBQYAAAAABgAGAFkBAABZBQAAAAA=&#10;">
              <v:fill on="f" focussize="0,0"/>
              <v:stroke on="f"/>
              <v:imagedata o:title=""/>
              <o:lock v:ext="edit" aspectratio="f"/>
              <v:textbox inset="0mm,0mm,0mm,0mm" style="mso-fit-shape-to-text:t;">
                <w:txbxContent>
                  <w:p w14:paraId="11180E2D">
                    <w:pPr>
                      <w:pStyle w:val="27"/>
                    </w:pPr>
                    <w:r>
                      <w:fldChar w:fldCharType="begin"/>
                    </w:r>
                    <w:r>
                      <w:instrText xml:space="preserve"> PAGE  \* MERGEFORMAT </w:instrText>
                    </w:r>
                    <w:r>
                      <w:fldChar w:fldCharType="separate"/>
                    </w:r>
                    <w:r>
                      <w:t>43</w:t>
                    </w:r>
                    <w:r>
                      <w:fldChar w:fldCharType="end"/>
                    </w:r>
                  </w:p>
                </w:txbxContent>
              </v:textbox>
            </v:shape>
          </w:pict>
        </mc:Fallback>
      </mc:AlternateContent>
    </w:r>
  </w:p>
  <w:p w14:paraId="2C5746AB">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15CD">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00000007"/>
    <w:multiLevelType w:val="multilevel"/>
    <w:tmpl w:val="00000007"/>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887043"/>
    <w:multiLevelType w:val="multilevel"/>
    <w:tmpl w:val="05887043"/>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88404AB"/>
    <w:multiLevelType w:val="multilevel"/>
    <w:tmpl w:val="688404AB"/>
    <w:lvl w:ilvl="0" w:tentative="0">
      <w:start w:val="1"/>
      <w:numFmt w:val="decimal"/>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zMyMTc4Mjk1ZDYxOGRiZDkyMTFmY2M5YzA4NjcifQ=="/>
  </w:docVars>
  <w:rsids>
    <w:rsidRoot w:val="001B7856"/>
    <w:rsid w:val="00013B8C"/>
    <w:rsid w:val="00046827"/>
    <w:rsid w:val="0006292E"/>
    <w:rsid w:val="00093B73"/>
    <w:rsid w:val="00114C7D"/>
    <w:rsid w:val="00115D0B"/>
    <w:rsid w:val="0014064A"/>
    <w:rsid w:val="00195B8B"/>
    <w:rsid w:val="001B6914"/>
    <w:rsid w:val="001B7856"/>
    <w:rsid w:val="001E6727"/>
    <w:rsid w:val="00232A7B"/>
    <w:rsid w:val="00281055"/>
    <w:rsid w:val="002A2D20"/>
    <w:rsid w:val="002C3CF0"/>
    <w:rsid w:val="002E433C"/>
    <w:rsid w:val="0031084E"/>
    <w:rsid w:val="003253AB"/>
    <w:rsid w:val="00376A5D"/>
    <w:rsid w:val="00395FB7"/>
    <w:rsid w:val="0039684A"/>
    <w:rsid w:val="0041358E"/>
    <w:rsid w:val="00422D48"/>
    <w:rsid w:val="0048440C"/>
    <w:rsid w:val="004A1A74"/>
    <w:rsid w:val="004F2195"/>
    <w:rsid w:val="0055269C"/>
    <w:rsid w:val="005A045D"/>
    <w:rsid w:val="00610DF7"/>
    <w:rsid w:val="00654F60"/>
    <w:rsid w:val="006B4076"/>
    <w:rsid w:val="006D163D"/>
    <w:rsid w:val="00714980"/>
    <w:rsid w:val="00777625"/>
    <w:rsid w:val="007B06B1"/>
    <w:rsid w:val="007E2739"/>
    <w:rsid w:val="007E38A1"/>
    <w:rsid w:val="008142B3"/>
    <w:rsid w:val="008311D2"/>
    <w:rsid w:val="008713DA"/>
    <w:rsid w:val="008A7F3E"/>
    <w:rsid w:val="008B5754"/>
    <w:rsid w:val="008F1CC6"/>
    <w:rsid w:val="00901657"/>
    <w:rsid w:val="00917CA9"/>
    <w:rsid w:val="00940CAF"/>
    <w:rsid w:val="0097066A"/>
    <w:rsid w:val="009B4907"/>
    <w:rsid w:val="009C1300"/>
    <w:rsid w:val="009F4A62"/>
    <w:rsid w:val="00A14D72"/>
    <w:rsid w:val="00A73F26"/>
    <w:rsid w:val="00A7529B"/>
    <w:rsid w:val="00A76B05"/>
    <w:rsid w:val="00A96F13"/>
    <w:rsid w:val="00AD6FD2"/>
    <w:rsid w:val="00AE04F7"/>
    <w:rsid w:val="00AF4BC4"/>
    <w:rsid w:val="00B01457"/>
    <w:rsid w:val="00B1108B"/>
    <w:rsid w:val="00B90ACD"/>
    <w:rsid w:val="00C16C69"/>
    <w:rsid w:val="00C60C57"/>
    <w:rsid w:val="00C623EE"/>
    <w:rsid w:val="00C91120"/>
    <w:rsid w:val="00CD1ED7"/>
    <w:rsid w:val="00D075D3"/>
    <w:rsid w:val="00D76626"/>
    <w:rsid w:val="00DA4245"/>
    <w:rsid w:val="00DD0B71"/>
    <w:rsid w:val="00DD49C5"/>
    <w:rsid w:val="00E034F4"/>
    <w:rsid w:val="00E21045"/>
    <w:rsid w:val="00E66F5B"/>
    <w:rsid w:val="00EC5F98"/>
    <w:rsid w:val="00F067AD"/>
    <w:rsid w:val="00F31D2B"/>
    <w:rsid w:val="00F535BF"/>
    <w:rsid w:val="00FC4B38"/>
    <w:rsid w:val="00FD1788"/>
    <w:rsid w:val="00FE191F"/>
    <w:rsid w:val="01593504"/>
    <w:rsid w:val="01DF79C5"/>
    <w:rsid w:val="0248765C"/>
    <w:rsid w:val="02644F89"/>
    <w:rsid w:val="02972330"/>
    <w:rsid w:val="03192AF9"/>
    <w:rsid w:val="0363551B"/>
    <w:rsid w:val="04542823"/>
    <w:rsid w:val="0503010C"/>
    <w:rsid w:val="052474E0"/>
    <w:rsid w:val="083212DB"/>
    <w:rsid w:val="089613E5"/>
    <w:rsid w:val="09724A4D"/>
    <w:rsid w:val="0A981059"/>
    <w:rsid w:val="0ACB4F8A"/>
    <w:rsid w:val="0B65225E"/>
    <w:rsid w:val="0C81608C"/>
    <w:rsid w:val="0E235001"/>
    <w:rsid w:val="0E8B2262"/>
    <w:rsid w:val="0F274918"/>
    <w:rsid w:val="124943DD"/>
    <w:rsid w:val="1386575E"/>
    <w:rsid w:val="13903910"/>
    <w:rsid w:val="139F43DD"/>
    <w:rsid w:val="14037837"/>
    <w:rsid w:val="14880548"/>
    <w:rsid w:val="15312996"/>
    <w:rsid w:val="17DF076C"/>
    <w:rsid w:val="180A6472"/>
    <w:rsid w:val="18AB1984"/>
    <w:rsid w:val="18CC2072"/>
    <w:rsid w:val="1903629F"/>
    <w:rsid w:val="1AF57E02"/>
    <w:rsid w:val="1B426668"/>
    <w:rsid w:val="1B5D7BBF"/>
    <w:rsid w:val="1CCB2BC8"/>
    <w:rsid w:val="1E4F5333"/>
    <w:rsid w:val="1E91399D"/>
    <w:rsid w:val="1F1817BF"/>
    <w:rsid w:val="1FAA45B6"/>
    <w:rsid w:val="20252565"/>
    <w:rsid w:val="20763D13"/>
    <w:rsid w:val="208B0784"/>
    <w:rsid w:val="20E96E42"/>
    <w:rsid w:val="211051A0"/>
    <w:rsid w:val="21843A49"/>
    <w:rsid w:val="24067806"/>
    <w:rsid w:val="242A3464"/>
    <w:rsid w:val="249D784B"/>
    <w:rsid w:val="24C77C12"/>
    <w:rsid w:val="24E069A6"/>
    <w:rsid w:val="253330E1"/>
    <w:rsid w:val="27DF0762"/>
    <w:rsid w:val="28E543E7"/>
    <w:rsid w:val="295977AD"/>
    <w:rsid w:val="29B275D9"/>
    <w:rsid w:val="2A213D7C"/>
    <w:rsid w:val="2A9E5869"/>
    <w:rsid w:val="2BD34AB9"/>
    <w:rsid w:val="2C3E2572"/>
    <w:rsid w:val="2D9A6BC0"/>
    <w:rsid w:val="2F103DE7"/>
    <w:rsid w:val="2F6A68E0"/>
    <w:rsid w:val="2F9615BC"/>
    <w:rsid w:val="30BF4FBE"/>
    <w:rsid w:val="30FB0CC6"/>
    <w:rsid w:val="31370A86"/>
    <w:rsid w:val="31622897"/>
    <w:rsid w:val="32380673"/>
    <w:rsid w:val="329D4BAF"/>
    <w:rsid w:val="32F17901"/>
    <w:rsid w:val="33541F8A"/>
    <w:rsid w:val="33B422B8"/>
    <w:rsid w:val="33EA00AC"/>
    <w:rsid w:val="33F65C41"/>
    <w:rsid w:val="33FE6DB1"/>
    <w:rsid w:val="344A041F"/>
    <w:rsid w:val="34673E9A"/>
    <w:rsid w:val="349B7F0B"/>
    <w:rsid w:val="352562FB"/>
    <w:rsid w:val="36D66C0F"/>
    <w:rsid w:val="389205AE"/>
    <w:rsid w:val="390C6CD5"/>
    <w:rsid w:val="3A7F0149"/>
    <w:rsid w:val="3AEB6E8D"/>
    <w:rsid w:val="3B6E5325"/>
    <w:rsid w:val="3BCB64FF"/>
    <w:rsid w:val="3BE30BF1"/>
    <w:rsid w:val="3BFD0B92"/>
    <w:rsid w:val="3C6D779B"/>
    <w:rsid w:val="3CAA20F6"/>
    <w:rsid w:val="3D4A6C1E"/>
    <w:rsid w:val="3D9D21CE"/>
    <w:rsid w:val="3E305CC1"/>
    <w:rsid w:val="3E5C591E"/>
    <w:rsid w:val="3FA465F6"/>
    <w:rsid w:val="403E59D6"/>
    <w:rsid w:val="40F03056"/>
    <w:rsid w:val="41042BF5"/>
    <w:rsid w:val="41285B3F"/>
    <w:rsid w:val="41792808"/>
    <w:rsid w:val="41F60B01"/>
    <w:rsid w:val="434167CD"/>
    <w:rsid w:val="436201A0"/>
    <w:rsid w:val="45A34794"/>
    <w:rsid w:val="48A276C6"/>
    <w:rsid w:val="48DC5FEB"/>
    <w:rsid w:val="48EF5D53"/>
    <w:rsid w:val="49767C51"/>
    <w:rsid w:val="4A193C28"/>
    <w:rsid w:val="4B482EC2"/>
    <w:rsid w:val="4D0259DD"/>
    <w:rsid w:val="4E697FD0"/>
    <w:rsid w:val="4E8216C8"/>
    <w:rsid w:val="4F7A663A"/>
    <w:rsid w:val="4F856140"/>
    <w:rsid w:val="4FD14D26"/>
    <w:rsid w:val="52A5743C"/>
    <w:rsid w:val="52F60F5A"/>
    <w:rsid w:val="53B01D26"/>
    <w:rsid w:val="53E108A2"/>
    <w:rsid w:val="53E4287F"/>
    <w:rsid w:val="54A379AB"/>
    <w:rsid w:val="54DC5799"/>
    <w:rsid w:val="54DD4AA9"/>
    <w:rsid w:val="55506FE0"/>
    <w:rsid w:val="56430A2A"/>
    <w:rsid w:val="56C358D0"/>
    <w:rsid w:val="56EA6E6F"/>
    <w:rsid w:val="573C7A56"/>
    <w:rsid w:val="57E5399E"/>
    <w:rsid w:val="57F563B4"/>
    <w:rsid w:val="58FA395E"/>
    <w:rsid w:val="592E5D28"/>
    <w:rsid w:val="5A8F3EC7"/>
    <w:rsid w:val="5B863484"/>
    <w:rsid w:val="5C1563AE"/>
    <w:rsid w:val="5C1D7062"/>
    <w:rsid w:val="5C852CFE"/>
    <w:rsid w:val="5C8956D8"/>
    <w:rsid w:val="5CDD77D2"/>
    <w:rsid w:val="5D3F7CAA"/>
    <w:rsid w:val="5DF27C66"/>
    <w:rsid w:val="5E6A187F"/>
    <w:rsid w:val="5E98665A"/>
    <w:rsid w:val="5FB04FB7"/>
    <w:rsid w:val="5FEA4E54"/>
    <w:rsid w:val="62850719"/>
    <w:rsid w:val="62B94257"/>
    <w:rsid w:val="63C73E1D"/>
    <w:rsid w:val="66647AE5"/>
    <w:rsid w:val="6ADB09C3"/>
    <w:rsid w:val="6B60619E"/>
    <w:rsid w:val="6B9C0BE3"/>
    <w:rsid w:val="6BA305F7"/>
    <w:rsid w:val="6BD37723"/>
    <w:rsid w:val="6C0030AD"/>
    <w:rsid w:val="6C44786E"/>
    <w:rsid w:val="6E2104E1"/>
    <w:rsid w:val="6F011017"/>
    <w:rsid w:val="6F783939"/>
    <w:rsid w:val="705225FD"/>
    <w:rsid w:val="70822ADC"/>
    <w:rsid w:val="70856140"/>
    <w:rsid w:val="730A7953"/>
    <w:rsid w:val="7436279A"/>
    <w:rsid w:val="74671792"/>
    <w:rsid w:val="747924BC"/>
    <w:rsid w:val="74B2475F"/>
    <w:rsid w:val="750533C3"/>
    <w:rsid w:val="751E2CFF"/>
    <w:rsid w:val="755651FF"/>
    <w:rsid w:val="76E14CAF"/>
    <w:rsid w:val="77E57745"/>
    <w:rsid w:val="782903B5"/>
    <w:rsid w:val="79140DD9"/>
    <w:rsid w:val="794E7774"/>
    <w:rsid w:val="79C26413"/>
    <w:rsid w:val="79E31FA0"/>
    <w:rsid w:val="7E335F7B"/>
    <w:rsid w:val="7E7542A2"/>
    <w:rsid w:val="7ED33124"/>
    <w:rsid w:val="7F77230D"/>
    <w:rsid w:val="7F9B12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3"/>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1"/>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55"/>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56"/>
    <w:autoRedefine/>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1"/>
    <w:link w:val="57"/>
    <w:autoRedefine/>
    <w:qFormat/>
    <w:uiPriority w:val="99"/>
    <w:pPr>
      <w:keepNext/>
      <w:keepLines/>
      <w:spacing w:before="280" w:after="290" w:line="372" w:lineRule="auto"/>
      <w:outlineLvl w:val="4"/>
    </w:pPr>
    <w:rPr>
      <w:b/>
      <w:bCs/>
      <w:sz w:val="28"/>
      <w:szCs w:val="28"/>
    </w:rPr>
  </w:style>
  <w:style w:type="paragraph" w:styleId="7">
    <w:name w:val="heading 6"/>
    <w:basedOn w:val="1"/>
    <w:next w:val="1"/>
    <w:link w:val="58"/>
    <w:autoRedefine/>
    <w:qFormat/>
    <w:uiPriority w:val="99"/>
    <w:pPr>
      <w:keepNext/>
      <w:keepLines/>
      <w:spacing w:before="240" w:after="64" w:line="317" w:lineRule="auto"/>
      <w:outlineLvl w:val="5"/>
    </w:pPr>
    <w:rPr>
      <w:rFonts w:ascii="Cambria" w:hAnsi="Cambria" w:cs="Cambria"/>
      <w:b/>
      <w:bCs/>
      <w:sz w:val="24"/>
      <w:szCs w:val="24"/>
    </w:rPr>
  </w:style>
  <w:style w:type="paragraph" w:styleId="8">
    <w:name w:val="heading 7"/>
    <w:basedOn w:val="1"/>
    <w:next w:val="1"/>
    <w:link w:val="59"/>
    <w:autoRedefine/>
    <w:qFormat/>
    <w:uiPriority w:val="99"/>
    <w:pPr>
      <w:keepNext/>
      <w:keepLines/>
      <w:spacing w:before="240" w:after="64" w:line="317" w:lineRule="auto"/>
      <w:outlineLvl w:val="6"/>
    </w:pPr>
    <w:rPr>
      <w:rFonts w:ascii="Calibri" w:hAnsi="Calibri" w:cs="Calibri"/>
      <w:b/>
      <w:bCs/>
      <w:sz w:val="24"/>
      <w:szCs w:val="24"/>
    </w:rPr>
  </w:style>
  <w:style w:type="paragraph" w:styleId="9">
    <w:name w:val="heading 8"/>
    <w:basedOn w:val="1"/>
    <w:next w:val="1"/>
    <w:link w:val="60"/>
    <w:autoRedefine/>
    <w:qFormat/>
    <w:uiPriority w:val="99"/>
    <w:pPr>
      <w:keepNext/>
      <w:keepLines/>
      <w:spacing w:before="240" w:after="64" w:line="317" w:lineRule="auto"/>
      <w:outlineLvl w:val="7"/>
    </w:pPr>
    <w:rPr>
      <w:rFonts w:ascii="Cambria" w:hAnsi="Cambria" w:cs="Cambria"/>
      <w:sz w:val="24"/>
      <w:szCs w:val="24"/>
    </w:rPr>
  </w:style>
  <w:style w:type="paragraph" w:styleId="10">
    <w:name w:val="heading 9"/>
    <w:basedOn w:val="1"/>
    <w:next w:val="1"/>
    <w:link w:val="61"/>
    <w:autoRedefine/>
    <w:qFormat/>
    <w:uiPriority w:val="99"/>
    <w:pPr>
      <w:keepNext/>
      <w:keepLines/>
      <w:spacing w:before="240" w:after="64" w:line="317" w:lineRule="auto"/>
      <w:outlineLvl w:val="8"/>
    </w:pPr>
    <w:rPr>
      <w:rFonts w:ascii="Cambria" w:hAnsi="Cambria" w:cs="Cambria"/>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rPr>
      <w:rFonts w:ascii="Calibri" w:hAnsi="Calibri" w:cs="Calibri"/>
    </w:rPr>
  </w:style>
  <w:style w:type="paragraph" w:styleId="12">
    <w:name w:val="Normal Indent"/>
    <w:basedOn w:val="1"/>
    <w:next w:val="13"/>
    <w:link w:val="169"/>
    <w:autoRedefine/>
    <w:qFormat/>
    <w:uiPriority w:val="99"/>
    <w:pPr>
      <w:ind w:firstLine="420" w:firstLineChars="200"/>
    </w:pPr>
    <w:rPr>
      <w:kern w:val="0"/>
      <w:sz w:val="24"/>
      <w:szCs w:val="24"/>
    </w:rPr>
  </w:style>
  <w:style w:type="paragraph" w:customStyle="1" w:styleId="13">
    <w:name w:val="首行缩进"/>
    <w:basedOn w:val="1"/>
    <w:autoRedefine/>
    <w:qFormat/>
    <w:uiPriority w:val="0"/>
    <w:pPr>
      <w:spacing w:line="360" w:lineRule="auto"/>
      <w:ind w:firstLine="480" w:firstLineChars="200"/>
    </w:pPr>
    <w:rPr>
      <w:sz w:val="24"/>
      <w:lang w:val="zh-CN"/>
    </w:rPr>
  </w:style>
  <w:style w:type="paragraph" w:styleId="14">
    <w:name w:val="caption"/>
    <w:basedOn w:val="1"/>
    <w:next w:val="1"/>
    <w:autoRedefine/>
    <w:qFormat/>
    <w:uiPriority w:val="99"/>
    <w:pPr>
      <w:ind w:firstLine="6290" w:firstLineChars="2282"/>
    </w:pPr>
    <w:rPr>
      <w:b/>
      <w:bCs/>
      <w:color w:val="000080"/>
      <w:sz w:val="28"/>
      <w:szCs w:val="28"/>
    </w:rPr>
  </w:style>
  <w:style w:type="paragraph" w:styleId="15">
    <w:name w:val="Document Map"/>
    <w:basedOn w:val="1"/>
    <w:link w:val="62"/>
    <w:autoRedefine/>
    <w:qFormat/>
    <w:uiPriority w:val="99"/>
    <w:rPr>
      <w:rFonts w:ascii="宋体" w:cs="宋体"/>
      <w:sz w:val="18"/>
      <w:szCs w:val="18"/>
    </w:rPr>
  </w:style>
  <w:style w:type="paragraph" w:styleId="16">
    <w:name w:val="annotation text"/>
    <w:basedOn w:val="1"/>
    <w:link w:val="63"/>
    <w:autoRedefine/>
    <w:qFormat/>
    <w:uiPriority w:val="99"/>
    <w:pPr>
      <w:jc w:val="left"/>
    </w:pPr>
    <w:rPr>
      <w:rFonts w:ascii="Calibri" w:hAnsi="Calibri" w:cs="Calibri"/>
      <w:sz w:val="18"/>
      <w:szCs w:val="18"/>
    </w:rPr>
  </w:style>
  <w:style w:type="paragraph" w:styleId="17">
    <w:name w:val="Body Text"/>
    <w:basedOn w:val="1"/>
    <w:next w:val="1"/>
    <w:link w:val="167"/>
    <w:autoRedefine/>
    <w:qFormat/>
    <w:uiPriority w:val="99"/>
    <w:pPr>
      <w:spacing w:after="120"/>
    </w:pPr>
  </w:style>
  <w:style w:type="paragraph" w:styleId="18">
    <w:name w:val="Body Text Indent"/>
    <w:basedOn w:val="1"/>
    <w:next w:val="1"/>
    <w:link w:val="170"/>
    <w:autoRedefine/>
    <w:qFormat/>
    <w:uiPriority w:val="99"/>
    <w:pPr>
      <w:ind w:firstLine="630"/>
    </w:pPr>
    <w:rPr>
      <w:sz w:val="32"/>
      <w:szCs w:val="32"/>
    </w:rPr>
  </w:style>
  <w:style w:type="paragraph" w:styleId="19">
    <w:name w:val="index 4"/>
    <w:basedOn w:val="1"/>
    <w:next w:val="1"/>
    <w:autoRedefine/>
    <w:qFormat/>
    <w:uiPriority w:val="99"/>
    <w:pPr>
      <w:ind w:left="600" w:leftChars="600"/>
    </w:pPr>
  </w:style>
  <w:style w:type="paragraph" w:styleId="20">
    <w:name w:val="toc 5"/>
    <w:basedOn w:val="1"/>
    <w:next w:val="1"/>
    <w:autoRedefine/>
    <w:qFormat/>
    <w:uiPriority w:val="99"/>
    <w:pPr>
      <w:tabs>
        <w:tab w:val="right" w:leader="dot" w:pos="8296"/>
      </w:tabs>
      <w:ind w:left="1050" w:leftChars="500"/>
    </w:pPr>
    <w:rPr>
      <w:rFonts w:ascii="Calibri" w:hAnsi="Calibri" w:cs="Calibri"/>
    </w:rPr>
  </w:style>
  <w:style w:type="paragraph" w:styleId="21">
    <w:name w:val="toc 3"/>
    <w:basedOn w:val="1"/>
    <w:next w:val="1"/>
    <w:autoRedefine/>
    <w:qFormat/>
    <w:uiPriority w:val="99"/>
    <w:pPr>
      <w:ind w:left="840" w:leftChars="400"/>
    </w:pPr>
  </w:style>
  <w:style w:type="paragraph" w:styleId="22">
    <w:name w:val="Plain Text"/>
    <w:basedOn w:val="1"/>
    <w:link w:val="66"/>
    <w:autoRedefine/>
    <w:qFormat/>
    <w:uiPriority w:val="99"/>
    <w:pPr>
      <w:autoSpaceDE w:val="0"/>
      <w:autoSpaceDN w:val="0"/>
      <w:adjustRightInd w:val="0"/>
    </w:pPr>
    <w:rPr>
      <w:rFonts w:ascii="宋体" w:hAnsi="Tms Rmn" w:cs="宋体"/>
    </w:rPr>
  </w:style>
  <w:style w:type="paragraph" w:styleId="23">
    <w:name w:val="toc 8"/>
    <w:basedOn w:val="1"/>
    <w:next w:val="1"/>
    <w:autoRedefine/>
    <w:qFormat/>
    <w:uiPriority w:val="99"/>
    <w:pPr>
      <w:ind w:left="2940" w:leftChars="1400"/>
    </w:pPr>
    <w:rPr>
      <w:rFonts w:ascii="Calibri" w:hAnsi="Calibri" w:cs="Calibri"/>
    </w:rPr>
  </w:style>
  <w:style w:type="paragraph" w:styleId="24">
    <w:name w:val="Date"/>
    <w:basedOn w:val="1"/>
    <w:next w:val="1"/>
    <w:link w:val="67"/>
    <w:autoRedefine/>
    <w:qFormat/>
    <w:uiPriority w:val="99"/>
  </w:style>
  <w:style w:type="paragraph" w:styleId="25">
    <w:name w:val="Body Text Indent 2"/>
    <w:basedOn w:val="1"/>
    <w:link w:val="68"/>
    <w:autoRedefine/>
    <w:qFormat/>
    <w:uiPriority w:val="99"/>
    <w:pPr>
      <w:spacing w:after="120" w:line="480" w:lineRule="auto"/>
      <w:ind w:left="420" w:leftChars="200"/>
    </w:pPr>
  </w:style>
  <w:style w:type="paragraph" w:styleId="26">
    <w:name w:val="Balloon Text"/>
    <w:basedOn w:val="1"/>
    <w:link w:val="69"/>
    <w:autoRedefine/>
    <w:qFormat/>
    <w:uiPriority w:val="99"/>
    <w:rPr>
      <w:sz w:val="18"/>
      <w:szCs w:val="18"/>
    </w:rPr>
  </w:style>
  <w:style w:type="paragraph" w:styleId="27">
    <w:name w:val="footer"/>
    <w:basedOn w:val="1"/>
    <w:link w:val="70"/>
    <w:autoRedefine/>
    <w:qFormat/>
    <w:uiPriority w:val="99"/>
    <w:pPr>
      <w:tabs>
        <w:tab w:val="center" w:pos="4153"/>
        <w:tab w:val="right" w:pos="8306"/>
      </w:tabs>
      <w:snapToGrid w:val="0"/>
      <w:jc w:val="left"/>
    </w:pPr>
    <w:rPr>
      <w:sz w:val="18"/>
      <w:szCs w:val="18"/>
    </w:rPr>
  </w:style>
  <w:style w:type="paragraph" w:styleId="28">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99"/>
    <w:pPr>
      <w:spacing w:line="480" w:lineRule="auto"/>
    </w:pPr>
    <w:rPr>
      <w:sz w:val="24"/>
      <w:szCs w:val="24"/>
    </w:rPr>
  </w:style>
  <w:style w:type="paragraph" w:styleId="30">
    <w:name w:val="toc 4"/>
    <w:basedOn w:val="1"/>
    <w:next w:val="1"/>
    <w:autoRedefine/>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9"/>
    <w:autoRedefine/>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autoRedefine/>
    <w:qFormat/>
    <w:uiPriority w:val="99"/>
    <w:pPr>
      <w:ind w:left="2100" w:leftChars="1000"/>
    </w:pPr>
    <w:rPr>
      <w:rFonts w:ascii="Calibri" w:hAnsi="Calibri" w:cs="Calibri"/>
    </w:rPr>
  </w:style>
  <w:style w:type="paragraph" w:styleId="33">
    <w:name w:val="Body Text Indent 3"/>
    <w:basedOn w:val="1"/>
    <w:link w:val="73"/>
    <w:autoRedefine/>
    <w:qFormat/>
    <w:uiPriority w:val="99"/>
    <w:pPr>
      <w:spacing w:after="120"/>
      <w:ind w:left="420" w:leftChars="200"/>
    </w:pPr>
    <w:rPr>
      <w:sz w:val="16"/>
      <w:szCs w:val="16"/>
    </w:rPr>
  </w:style>
  <w:style w:type="paragraph" w:styleId="34">
    <w:name w:val="index 7"/>
    <w:basedOn w:val="1"/>
    <w:next w:val="1"/>
    <w:autoRedefine/>
    <w:qFormat/>
    <w:uiPriority w:val="99"/>
    <w:pPr>
      <w:ind w:left="1200" w:leftChars="1200"/>
    </w:pPr>
  </w:style>
  <w:style w:type="paragraph" w:styleId="35">
    <w:name w:val="toc 2"/>
    <w:basedOn w:val="1"/>
    <w:next w:val="1"/>
    <w:autoRedefine/>
    <w:qFormat/>
    <w:uiPriority w:val="99"/>
    <w:pPr>
      <w:ind w:left="420" w:leftChars="200"/>
    </w:pPr>
  </w:style>
  <w:style w:type="paragraph" w:styleId="36">
    <w:name w:val="toc 9"/>
    <w:basedOn w:val="1"/>
    <w:next w:val="1"/>
    <w:autoRedefine/>
    <w:qFormat/>
    <w:uiPriority w:val="99"/>
    <w:pPr>
      <w:ind w:left="3360" w:leftChars="1600"/>
    </w:pPr>
    <w:rPr>
      <w:rFonts w:ascii="Calibri" w:hAnsi="Calibri" w:cs="Calibri"/>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5"/>
    <w:autoRedefine/>
    <w:qFormat/>
    <w:uiPriority w:val="99"/>
    <w:pPr>
      <w:spacing w:before="240" w:after="60"/>
      <w:jc w:val="center"/>
      <w:outlineLvl w:val="0"/>
    </w:pPr>
    <w:rPr>
      <w:rFonts w:ascii="Cambria" w:hAnsi="Cambria" w:cs="Cambria"/>
      <w:b/>
      <w:bCs/>
      <w:sz w:val="32"/>
      <w:szCs w:val="32"/>
    </w:rPr>
  </w:style>
  <w:style w:type="paragraph" w:styleId="39">
    <w:name w:val="annotation subject"/>
    <w:basedOn w:val="16"/>
    <w:next w:val="16"/>
    <w:link w:val="75"/>
    <w:autoRedefine/>
    <w:qFormat/>
    <w:uiPriority w:val="99"/>
    <w:rPr>
      <w:b/>
      <w:bCs/>
      <w:sz w:val="21"/>
      <w:szCs w:val="21"/>
    </w:rPr>
  </w:style>
  <w:style w:type="paragraph" w:styleId="40">
    <w:name w:val="Body Text First Indent"/>
    <w:basedOn w:val="17"/>
    <w:next w:val="32"/>
    <w:link w:val="168"/>
    <w:autoRedefine/>
    <w:unhideWhenUsed/>
    <w:qFormat/>
    <w:uiPriority w:val="99"/>
    <w:pPr>
      <w:ind w:firstLine="420" w:firstLineChars="100"/>
    </w:pPr>
  </w:style>
  <w:style w:type="paragraph" w:styleId="41">
    <w:name w:val="Body Text First Indent 2"/>
    <w:basedOn w:val="18"/>
    <w:next w:val="1"/>
    <w:autoRedefine/>
    <w:unhideWhenUsed/>
    <w:qFormat/>
    <w:uiPriority w:val="99"/>
    <w:pPr>
      <w:spacing w:line="360" w:lineRule="auto"/>
    </w:pPr>
    <w:rPr>
      <w:sz w:val="21"/>
      <w:szCs w:val="24"/>
    </w:rPr>
  </w:style>
  <w:style w:type="table" w:styleId="43">
    <w:name w:val="Table Grid"/>
    <w:basedOn w:val="4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99"/>
    <w:rPr>
      <w:b/>
      <w:bCs/>
    </w:rPr>
  </w:style>
  <w:style w:type="character" w:styleId="46">
    <w:name w:val="page number"/>
    <w:basedOn w:val="44"/>
    <w:autoRedefine/>
    <w:qFormat/>
    <w:uiPriority w:val="99"/>
  </w:style>
  <w:style w:type="character" w:styleId="47">
    <w:name w:val="Emphasis"/>
    <w:autoRedefine/>
    <w:qFormat/>
    <w:uiPriority w:val="99"/>
    <w:rPr>
      <w:i/>
      <w:iCs/>
    </w:rPr>
  </w:style>
  <w:style w:type="character" w:styleId="48">
    <w:name w:val="Hyperlink"/>
    <w:autoRedefine/>
    <w:qFormat/>
    <w:uiPriority w:val="99"/>
    <w:rPr>
      <w:color w:val="0000FF"/>
      <w:u w:val="single"/>
    </w:rPr>
  </w:style>
  <w:style w:type="character" w:styleId="49">
    <w:name w:val="annotation reference"/>
    <w:autoRedefine/>
    <w:qFormat/>
    <w:uiPriority w:val="99"/>
    <w:rPr>
      <w:sz w:val="21"/>
      <w:szCs w:val="21"/>
    </w:rPr>
  </w:style>
  <w:style w:type="paragraph" w:customStyle="1" w:styleId="50">
    <w:name w:val="No Spacing1"/>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51">
    <w:name w:val="彩色网格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52">
    <w:name w:val="Quote"/>
    <w:basedOn w:val="1"/>
    <w:next w:val="1"/>
    <w:link w:val="157"/>
    <w:autoRedefine/>
    <w:qFormat/>
    <w:uiPriority w:val="99"/>
    <w:rPr>
      <w:rFonts w:ascii="Calibri" w:hAnsi="Calibri" w:cs="Calibri"/>
      <w:i/>
      <w:iCs/>
      <w:color w:val="000000"/>
      <w:sz w:val="22"/>
      <w:szCs w:val="22"/>
    </w:rPr>
  </w:style>
  <w:style w:type="character" w:customStyle="1" w:styleId="53">
    <w:name w:val="标题 1 Char"/>
    <w:link w:val="2"/>
    <w:autoRedefine/>
    <w:qFormat/>
    <w:uiPriority w:val="99"/>
    <w:rPr>
      <w:rFonts w:ascii="Times New Roman" w:hAnsi="Times New Roman" w:eastAsia="宋体" w:cs="Times New Roman"/>
      <w:b/>
      <w:bCs/>
      <w:kern w:val="44"/>
      <w:sz w:val="44"/>
      <w:szCs w:val="44"/>
    </w:rPr>
  </w:style>
  <w:style w:type="character" w:customStyle="1" w:styleId="54">
    <w:name w:val="Heading 2 Char_fdc895c9-609d-4a10-adf7-6ec40eb8c52b"/>
    <w:autoRedefine/>
    <w:qFormat/>
    <w:uiPriority w:val="99"/>
    <w:rPr>
      <w:rFonts w:ascii="Cambria" w:hAnsi="Cambria" w:eastAsia="宋体" w:cs="Cambria"/>
      <w:b/>
      <w:bCs/>
      <w:sz w:val="32"/>
      <w:szCs w:val="32"/>
    </w:rPr>
  </w:style>
  <w:style w:type="character" w:customStyle="1" w:styleId="55">
    <w:name w:val="标题 3 Char"/>
    <w:link w:val="4"/>
    <w:autoRedefine/>
    <w:qFormat/>
    <w:uiPriority w:val="99"/>
    <w:rPr>
      <w:rFonts w:ascii="Times New Roman" w:hAnsi="Times New Roman" w:eastAsia="宋体" w:cs="Times New Roman"/>
      <w:b/>
      <w:bCs/>
      <w:sz w:val="32"/>
      <w:szCs w:val="32"/>
    </w:rPr>
  </w:style>
  <w:style w:type="character" w:customStyle="1" w:styleId="56">
    <w:name w:val="标题 4 Char"/>
    <w:link w:val="5"/>
    <w:autoRedefine/>
    <w:qFormat/>
    <w:uiPriority w:val="99"/>
    <w:rPr>
      <w:rFonts w:ascii="Arial" w:hAnsi="Arial" w:eastAsia="黑体" w:cs="Arial"/>
      <w:b/>
      <w:bCs/>
      <w:kern w:val="2"/>
      <w:sz w:val="28"/>
      <w:szCs w:val="28"/>
    </w:rPr>
  </w:style>
  <w:style w:type="character" w:customStyle="1" w:styleId="57">
    <w:name w:val="标题 5 Char"/>
    <w:link w:val="6"/>
    <w:autoRedefine/>
    <w:qFormat/>
    <w:uiPriority w:val="99"/>
    <w:rPr>
      <w:rFonts w:ascii="Times New Roman" w:hAnsi="Times New Roman" w:eastAsia="宋体" w:cs="Times New Roman"/>
      <w:b/>
      <w:bCs/>
      <w:kern w:val="2"/>
      <w:sz w:val="28"/>
      <w:szCs w:val="28"/>
    </w:rPr>
  </w:style>
  <w:style w:type="character" w:customStyle="1" w:styleId="58">
    <w:name w:val="标题 6 Char"/>
    <w:link w:val="7"/>
    <w:autoRedefine/>
    <w:qFormat/>
    <w:uiPriority w:val="99"/>
    <w:rPr>
      <w:rFonts w:ascii="Cambria" w:hAnsi="Cambria" w:eastAsia="宋体" w:cs="Cambria"/>
      <w:b/>
      <w:bCs/>
      <w:kern w:val="2"/>
      <w:sz w:val="24"/>
      <w:szCs w:val="24"/>
    </w:rPr>
  </w:style>
  <w:style w:type="character" w:customStyle="1" w:styleId="59">
    <w:name w:val="标题 7 Char"/>
    <w:link w:val="8"/>
    <w:autoRedefine/>
    <w:qFormat/>
    <w:uiPriority w:val="99"/>
    <w:rPr>
      <w:rFonts w:ascii="Calibri" w:hAnsi="Calibri" w:eastAsia="宋体" w:cs="Calibri"/>
      <w:b/>
      <w:bCs/>
      <w:kern w:val="2"/>
      <w:sz w:val="24"/>
      <w:szCs w:val="24"/>
    </w:rPr>
  </w:style>
  <w:style w:type="character" w:customStyle="1" w:styleId="60">
    <w:name w:val="标题 8 Char"/>
    <w:link w:val="9"/>
    <w:autoRedefine/>
    <w:qFormat/>
    <w:uiPriority w:val="99"/>
    <w:rPr>
      <w:rFonts w:ascii="Cambria" w:hAnsi="Cambria" w:eastAsia="宋体" w:cs="Cambria"/>
      <w:kern w:val="2"/>
      <w:sz w:val="24"/>
      <w:szCs w:val="24"/>
    </w:rPr>
  </w:style>
  <w:style w:type="character" w:customStyle="1" w:styleId="61">
    <w:name w:val="标题 9 Char"/>
    <w:link w:val="10"/>
    <w:autoRedefine/>
    <w:qFormat/>
    <w:uiPriority w:val="99"/>
    <w:rPr>
      <w:rFonts w:ascii="Cambria" w:hAnsi="Cambria" w:eastAsia="宋体" w:cs="Cambria"/>
      <w:kern w:val="2"/>
      <w:sz w:val="21"/>
      <w:szCs w:val="21"/>
    </w:rPr>
  </w:style>
  <w:style w:type="character" w:customStyle="1" w:styleId="62">
    <w:name w:val="文档结构图 Char"/>
    <w:link w:val="15"/>
    <w:autoRedefine/>
    <w:qFormat/>
    <w:uiPriority w:val="99"/>
    <w:rPr>
      <w:rFonts w:ascii="宋体" w:hAnsi="Times New Roman" w:eastAsia="宋体" w:cs="宋体"/>
      <w:sz w:val="18"/>
      <w:szCs w:val="18"/>
    </w:rPr>
  </w:style>
  <w:style w:type="character" w:customStyle="1" w:styleId="63">
    <w:name w:val="批注文字 Char1"/>
    <w:link w:val="16"/>
    <w:autoRedefine/>
    <w:qFormat/>
    <w:uiPriority w:val="99"/>
    <w:rPr>
      <w:rFonts w:ascii="Times New Roman" w:hAnsi="Times New Roman" w:eastAsia="宋体" w:cs="Times New Roman"/>
      <w:sz w:val="24"/>
      <w:szCs w:val="24"/>
    </w:rPr>
  </w:style>
  <w:style w:type="character" w:customStyle="1" w:styleId="64">
    <w:name w:val="正文文本 字符"/>
    <w:autoRedefine/>
    <w:qFormat/>
    <w:uiPriority w:val="99"/>
    <w:rPr>
      <w:rFonts w:ascii="Times New Roman" w:hAnsi="Times New Roman" w:eastAsia="宋体" w:cs="Times New Roman"/>
      <w:sz w:val="24"/>
      <w:szCs w:val="24"/>
    </w:rPr>
  </w:style>
  <w:style w:type="character" w:customStyle="1" w:styleId="65">
    <w:name w:val="正文文本缩进 字符"/>
    <w:autoRedefine/>
    <w:qFormat/>
    <w:uiPriority w:val="99"/>
    <w:rPr>
      <w:rFonts w:ascii="Times New Roman" w:hAnsi="Times New Roman" w:eastAsia="宋体" w:cs="Times New Roman"/>
      <w:sz w:val="20"/>
      <w:szCs w:val="20"/>
    </w:rPr>
  </w:style>
  <w:style w:type="character" w:customStyle="1" w:styleId="66">
    <w:name w:val="纯文本 Char1"/>
    <w:link w:val="22"/>
    <w:autoRedefine/>
    <w:qFormat/>
    <w:uiPriority w:val="99"/>
    <w:rPr>
      <w:rFonts w:ascii="宋体" w:hAnsi="Courier New" w:eastAsia="宋体" w:cs="宋体"/>
      <w:sz w:val="21"/>
      <w:szCs w:val="21"/>
    </w:rPr>
  </w:style>
  <w:style w:type="character" w:customStyle="1" w:styleId="67">
    <w:name w:val="日期 Char"/>
    <w:link w:val="24"/>
    <w:autoRedefine/>
    <w:qFormat/>
    <w:uiPriority w:val="99"/>
    <w:rPr>
      <w:rFonts w:ascii="Times New Roman" w:hAnsi="Times New Roman" w:eastAsia="宋体" w:cs="Times New Roman"/>
      <w:kern w:val="2"/>
      <w:sz w:val="21"/>
      <w:szCs w:val="21"/>
    </w:rPr>
  </w:style>
  <w:style w:type="character" w:customStyle="1" w:styleId="68">
    <w:name w:val="正文文本缩进 2 Char"/>
    <w:link w:val="25"/>
    <w:autoRedefine/>
    <w:qFormat/>
    <w:uiPriority w:val="99"/>
    <w:rPr>
      <w:rFonts w:ascii="Times New Roman" w:hAnsi="Times New Roman" w:eastAsia="宋体" w:cs="Times New Roman"/>
      <w:sz w:val="24"/>
      <w:szCs w:val="24"/>
    </w:rPr>
  </w:style>
  <w:style w:type="character" w:customStyle="1" w:styleId="69">
    <w:name w:val="批注框文本 Char"/>
    <w:link w:val="26"/>
    <w:autoRedefine/>
    <w:qFormat/>
    <w:uiPriority w:val="99"/>
    <w:rPr>
      <w:rFonts w:ascii="Times New Roman" w:hAnsi="Times New Roman" w:eastAsia="宋体" w:cs="Times New Roman"/>
      <w:sz w:val="18"/>
      <w:szCs w:val="18"/>
    </w:rPr>
  </w:style>
  <w:style w:type="character" w:customStyle="1" w:styleId="70">
    <w:name w:val="页脚 Char"/>
    <w:link w:val="27"/>
    <w:autoRedefine/>
    <w:qFormat/>
    <w:uiPriority w:val="99"/>
    <w:rPr>
      <w:sz w:val="18"/>
      <w:szCs w:val="18"/>
    </w:rPr>
  </w:style>
  <w:style w:type="character" w:customStyle="1" w:styleId="71">
    <w:name w:val="页眉 Char"/>
    <w:link w:val="28"/>
    <w:autoRedefine/>
    <w:qFormat/>
    <w:uiPriority w:val="99"/>
    <w:rPr>
      <w:sz w:val="18"/>
      <w:szCs w:val="18"/>
    </w:rPr>
  </w:style>
  <w:style w:type="character" w:customStyle="1" w:styleId="72">
    <w:name w:val="Subtitle Char"/>
    <w:autoRedefine/>
    <w:qFormat/>
    <w:uiPriority w:val="99"/>
    <w:rPr>
      <w:rFonts w:ascii="Cambria" w:hAnsi="Cambria" w:cs="Cambria"/>
      <w:b/>
      <w:bCs/>
      <w:kern w:val="28"/>
      <w:sz w:val="32"/>
      <w:szCs w:val="32"/>
    </w:rPr>
  </w:style>
  <w:style w:type="character" w:customStyle="1" w:styleId="73">
    <w:name w:val="正文文本缩进 3 Char"/>
    <w:link w:val="33"/>
    <w:autoRedefine/>
    <w:qFormat/>
    <w:uiPriority w:val="99"/>
    <w:rPr>
      <w:rFonts w:ascii="Times New Roman" w:hAnsi="Times New Roman" w:eastAsia="宋体" w:cs="Times New Roman"/>
      <w:sz w:val="16"/>
      <w:szCs w:val="16"/>
    </w:rPr>
  </w:style>
  <w:style w:type="character" w:customStyle="1" w:styleId="74">
    <w:name w:val="Title Char_9410cd4d-f580-4ab3-806d-f93b9a7bd8db"/>
    <w:autoRedefine/>
    <w:qFormat/>
    <w:uiPriority w:val="99"/>
    <w:rPr>
      <w:rFonts w:ascii="Cambria" w:hAnsi="Cambria" w:cs="Cambria"/>
      <w:b/>
      <w:bCs/>
      <w:kern w:val="2"/>
      <w:sz w:val="32"/>
      <w:szCs w:val="32"/>
    </w:rPr>
  </w:style>
  <w:style w:type="character" w:customStyle="1" w:styleId="75">
    <w:name w:val="批注主题 Char"/>
    <w:link w:val="39"/>
    <w:autoRedefine/>
    <w:qFormat/>
    <w:uiPriority w:val="99"/>
    <w:rPr>
      <w:rFonts w:ascii="Times New Roman" w:hAnsi="Times New Roman" w:eastAsia="宋体" w:cs="Times New Roman"/>
      <w:b/>
      <w:bCs/>
      <w:sz w:val="24"/>
      <w:szCs w:val="24"/>
    </w:rPr>
  </w:style>
  <w:style w:type="character" w:customStyle="1" w:styleId="76">
    <w:name w:val="标题 2 字符"/>
    <w:autoRedefine/>
    <w:qFormat/>
    <w:uiPriority w:val="99"/>
    <w:rPr>
      <w:rFonts w:ascii="Arial" w:hAnsi="Arial" w:eastAsia="黑体" w:cs="Arial"/>
      <w:b/>
      <w:bCs/>
      <w:sz w:val="32"/>
      <w:szCs w:val="32"/>
    </w:rPr>
  </w:style>
  <w:style w:type="paragraph" w:customStyle="1" w:styleId="77">
    <w:name w:val="正文首行缩进两字符"/>
    <w:basedOn w:val="1"/>
    <w:autoRedefine/>
    <w:qFormat/>
    <w:uiPriority w:val="99"/>
    <w:pPr>
      <w:spacing w:line="360" w:lineRule="auto"/>
      <w:ind w:firstLine="200" w:firstLineChars="200"/>
    </w:pPr>
  </w:style>
  <w:style w:type="paragraph" w:customStyle="1" w:styleId="78">
    <w:name w:val="正文1"/>
    <w:autoRedefine/>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0">
    <w:name w:val="表格"/>
    <w:basedOn w:val="1"/>
    <w:autoRedefine/>
    <w:qFormat/>
    <w:uiPriority w:val="99"/>
    <w:pPr>
      <w:spacing w:line="400" w:lineRule="exact"/>
    </w:pPr>
    <w:rPr>
      <w:sz w:val="24"/>
      <w:szCs w:val="24"/>
    </w:rPr>
  </w:style>
  <w:style w:type="paragraph" w:customStyle="1" w:styleId="81">
    <w:name w:val="样式 首行缩进:  2 字符"/>
    <w:basedOn w:val="1"/>
    <w:autoRedefine/>
    <w:qFormat/>
    <w:uiPriority w:val="99"/>
    <w:pPr>
      <w:spacing w:line="400" w:lineRule="exact"/>
      <w:ind w:firstLine="200" w:firstLineChars="200"/>
    </w:pPr>
    <w:rPr>
      <w:sz w:val="24"/>
      <w:szCs w:val="24"/>
    </w:rPr>
  </w:style>
  <w:style w:type="character" w:customStyle="1" w:styleId="82">
    <w:name w:val="（符号）邀请函中一、"/>
    <w:autoRedefine/>
    <w:qFormat/>
    <w:uiPriority w:val="99"/>
    <w:rPr>
      <w:rFonts w:ascii="黑体" w:hAnsi="黑体" w:eastAsia="黑体" w:cs="黑体"/>
      <w:b/>
      <w:bCs/>
      <w:sz w:val="24"/>
      <w:szCs w:val="24"/>
    </w:rPr>
  </w:style>
  <w:style w:type="character" w:customStyle="1" w:styleId="83">
    <w:name w:val="正文缩进 字符"/>
    <w:autoRedefine/>
    <w:qFormat/>
    <w:uiPriority w:val="99"/>
    <w:rPr>
      <w:rFonts w:ascii="Times New Roman" w:hAnsi="Times New Roman" w:eastAsia="宋体" w:cs="Times New Roman"/>
      <w:sz w:val="24"/>
      <w:szCs w:val="24"/>
    </w:rPr>
  </w:style>
  <w:style w:type="character" w:customStyle="1" w:styleId="84">
    <w:name w:val="Char Char9"/>
    <w:autoRedefine/>
    <w:qFormat/>
    <w:uiPriority w:val="99"/>
    <w:rPr>
      <w:kern w:val="2"/>
      <w:sz w:val="21"/>
      <w:szCs w:val="21"/>
    </w:rPr>
  </w:style>
  <w:style w:type="character" w:customStyle="1" w:styleId="85">
    <w:name w:val="批注文字 Char"/>
    <w:autoRedefine/>
    <w:qFormat/>
    <w:uiPriority w:val="99"/>
    <w:rPr>
      <w:sz w:val="18"/>
      <w:szCs w:val="18"/>
    </w:rPr>
  </w:style>
  <w:style w:type="character" w:customStyle="1" w:styleId="86">
    <w:name w:val="纯文本 Char"/>
    <w:autoRedefine/>
    <w:qFormat/>
    <w:uiPriority w:val="99"/>
    <w:rPr>
      <w:rFonts w:ascii="宋体" w:hAnsi="Tms Rmn" w:eastAsia="宋体" w:cs="宋体"/>
    </w:rPr>
  </w:style>
  <w:style w:type="paragraph" w:customStyle="1" w:styleId="87">
    <w:name w:val="GW-正文"/>
    <w:basedOn w:val="1"/>
    <w:link w:val="88"/>
    <w:autoRedefine/>
    <w:qFormat/>
    <w:uiPriority w:val="99"/>
    <w:pPr>
      <w:spacing w:line="360" w:lineRule="auto"/>
      <w:ind w:firstLine="200" w:firstLineChars="200"/>
    </w:pPr>
    <w:rPr>
      <w:rFonts w:eastAsia="仿宋_GB2312"/>
      <w:kern w:val="0"/>
      <w:sz w:val="24"/>
      <w:szCs w:val="24"/>
    </w:rPr>
  </w:style>
  <w:style w:type="character" w:customStyle="1" w:styleId="88">
    <w:name w:val="GW-正文 Char"/>
    <w:link w:val="87"/>
    <w:autoRedefine/>
    <w:qFormat/>
    <w:uiPriority w:val="99"/>
    <w:rPr>
      <w:rFonts w:ascii="Times New Roman" w:hAnsi="Times New Roman" w:eastAsia="仿宋_GB2312" w:cs="Times New Roman"/>
      <w:sz w:val="24"/>
      <w:szCs w:val="24"/>
    </w:rPr>
  </w:style>
  <w:style w:type="paragraph" w:styleId="89">
    <w:name w:val="List Paragraph"/>
    <w:basedOn w:val="1"/>
    <w:link w:val="90"/>
    <w:autoRedefine/>
    <w:qFormat/>
    <w:uiPriority w:val="99"/>
    <w:pPr>
      <w:ind w:firstLine="420" w:firstLineChars="200"/>
    </w:pPr>
    <w:rPr>
      <w:kern w:val="0"/>
      <w:sz w:val="24"/>
      <w:szCs w:val="24"/>
    </w:rPr>
  </w:style>
  <w:style w:type="character" w:customStyle="1" w:styleId="90">
    <w:name w:val="列出段落 Char"/>
    <w:link w:val="89"/>
    <w:autoRedefine/>
    <w:qFormat/>
    <w:uiPriority w:val="99"/>
    <w:rPr>
      <w:rFonts w:ascii="Times New Roman" w:hAnsi="Times New Roman" w:eastAsia="宋体" w:cs="Times New Roman"/>
      <w:sz w:val="24"/>
      <w:szCs w:val="24"/>
    </w:rPr>
  </w:style>
  <w:style w:type="paragraph" w:customStyle="1" w:styleId="91">
    <w:name w:val="Char Char Char Char Char Char Char Char Char Char Char Char Char Char1 Char Char Char Char"/>
    <w:basedOn w:val="1"/>
    <w:autoRedefine/>
    <w:qFormat/>
    <w:uiPriority w:val="99"/>
  </w:style>
  <w:style w:type="paragraph" w:customStyle="1" w:styleId="92">
    <w:name w:val="修订1"/>
    <w:autoRedefine/>
    <w:qFormat/>
    <w:uiPriority w:val="99"/>
    <w:rPr>
      <w:rFonts w:ascii="Times New Roman" w:hAnsi="Times New Roman" w:eastAsia="宋体" w:cs="Times New Roman"/>
      <w:kern w:val="2"/>
      <w:sz w:val="21"/>
      <w:szCs w:val="21"/>
      <w:lang w:val="en-US" w:eastAsia="zh-CN" w:bidi="ar-SA"/>
    </w:rPr>
  </w:style>
  <w:style w:type="character" w:customStyle="1" w:styleId="93">
    <w:name w:val="font31"/>
    <w:autoRedefine/>
    <w:qFormat/>
    <w:uiPriority w:val="99"/>
    <w:rPr>
      <w:rFonts w:ascii="宋体" w:hAnsi="宋体" w:eastAsia="宋体" w:cs="宋体"/>
      <w:color w:val="000000"/>
      <w:sz w:val="21"/>
      <w:szCs w:val="21"/>
      <w:u w:val="none"/>
    </w:rPr>
  </w:style>
  <w:style w:type="character" w:customStyle="1" w:styleId="94">
    <w:name w:val="正文缩进 Char1"/>
    <w:autoRedefine/>
    <w:qFormat/>
    <w:uiPriority w:val="99"/>
    <w:rPr>
      <w:rFonts w:eastAsia="宋体"/>
      <w:kern w:val="2"/>
      <w:sz w:val="24"/>
      <w:szCs w:val="24"/>
      <w:lang w:val="en-US" w:eastAsia="zh-CN"/>
    </w:rPr>
  </w:style>
  <w:style w:type="paragraph" w:customStyle="1" w:styleId="95">
    <w:name w:val="Plain Text1"/>
    <w:basedOn w:val="1"/>
    <w:autoRedefine/>
    <w:qFormat/>
    <w:uiPriority w:val="99"/>
    <w:pPr>
      <w:adjustRightInd w:val="0"/>
      <w:jc w:val="left"/>
      <w:textAlignment w:val="baseline"/>
    </w:pPr>
    <w:rPr>
      <w:rFonts w:ascii="宋体" w:hAnsi="Courier New" w:cs="宋体"/>
      <w:sz w:val="24"/>
      <w:szCs w:val="24"/>
    </w:rPr>
  </w:style>
  <w:style w:type="character" w:customStyle="1" w:styleId="96">
    <w:name w:val="Char Char3"/>
    <w:autoRedefine/>
    <w:qFormat/>
    <w:uiPriority w:val="99"/>
    <w:rPr>
      <w:rFonts w:ascii="Arial" w:hAnsi="Arial" w:eastAsia="黑体" w:cs="Arial"/>
      <w:b/>
      <w:bCs/>
      <w:kern w:val="2"/>
      <w:sz w:val="32"/>
      <w:szCs w:val="32"/>
      <w:lang w:val="en-US" w:eastAsia="zh-CN"/>
    </w:rPr>
  </w:style>
  <w:style w:type="character" w:customStyle="1" w:styleId="97">
    <w:name w:val="Char Char Char"/>
    <w:link w:val="98"/>
    <w:autoRedefine/>
    <w:qFormat/>
    <w:uiPriority w:val="99"/>
    <w:rPr>
      <w:rFonts w:ascii="Arial" w:hAnsi="Arial" w:eastAsia="黑体" w:cs="Arial"/>
      <w:b/>
      <w:bCs/>
      <w:kern w:val="2"/>
      <w:sz w:val="32"/>
      <w:szCs w:val="32"/>
    </w:rPr>
  </w:style>
  <w:style w:type="paragraph" w:customStyle="1" w:styleId="98">
    <w:name w:val="Char"/>
    <w:basedOn w:val="1"/>
    <w:link w:val="97"/>
    <w:autoRedefine/>
    <w:qFormat/>
    <w:uiPriority w:val="99"/>
    <w:rPr>
      <w:rFonts w:ascii="Arial" w:hAnsi="Arial" w:eastAsia="黑体" w:cs="Arial"/>
      <w:b/>
      <w:bCs/>
      <w:sz w:val="32"/>
      <w:szCs w:val="32"/>
    </w:rPr>
  </w:style>
  <w:style w:type="character" w:customStyle="1" w:styleId="99">
    <w:name w:val="无间距字符"/>
    <w:link w:val="100"/>
    <w:autoRedefine/>
    <w:qFormat/>
    <w:uiPriority w:val="99"/>
    <w:rPr>
      <w:rFonts w:ascii="Calibri" w:hAnsi="Calibri" w:cs="Calibri"/>
      <w:sz w:val="22"/>
      <w:szCs w:val="22"/>
      <w:lang w:val="en-US" w:eastAsia="zh-CN"/>
    </w:rPr>
  </w:style>
  <w:style w:type="paragraph" w:customStyle="1" w:styleId="100">
    <w:name w:val="无间距"/>
    <w:link w:val="99"/>
    <w:autoRedefine/>
    <w:qFormat/>
    <w:uiPriority w:val="99"/>
    <w:rPr>
      <w:rFonts w:ascii="Calibri" w:hAnsi="Calibri" w:eastAsia="宋体" w:cs="Calibri"/>
      <w:sz w:val="22"/>
      <w:szCs w:val="22"/>
      <w:lang w:val="en-US" w:eastAsia="zh-CN" w:bidi="ar-SA"/>
    </w:rPr>
  </w:style>
  <w:style w:type="character" w:customStyle="1" w:styleId="101">
    <w:name w:val="tdrownotice1"/>
    <w:autoRedefine/>
    <w:qFormat/>
    <w:uiPriority w:val="99"/>
    <w:rPr>
      <w:sz w:val="22"/>
      <w:szCs w:val="22"/>
    </w:rPr>
  </w:style>
  <w:style w:type="character" w:customStyle="1" w:styleId="102">
    <w:name w:val="页眉 Char1"/>
    <w:autoRedefine/>
    <w:qFormat/>
    <w:uiPriority w:val="99"/>
    <w:rPr>
      <w:kern w:val="2"/>
      <w:sz w:val="18"/>
      <w:szCs w:val="18"/>
    </w:rPr>
  </w:style>
  <w:style w:type="character" w:customStyle="1" w:styleId="103">
    <w:name w:val="正文文本缩进 Char1"/>
    <w:autoRedefine/>
    <w:qFormat/>
    <w:uiPriority w:val="99"/>
    <w:rPr>
      <w:kern w:val="2"/>
      <w:sz w:val="21"/>
      <w:szCs w:val="21"/>
    </w:rPr>
  </w:style>
  <w:style w:type="character" w:customStyle="1" w:styleId="104">
    <w:name w:val="批注主题 Char1"/>
    <w:autoRedefine/>
    <w:qFormat/>
    <w:uiPriority w:val="99"/>
    <w:rPr>
      <w:rFonts w:ascii="Times New Roman" w:hAnsi="Times New Roman" w:eastAsia="宋体" w:cs="Times New Roman"/>
      <w:b/>
      <w:bCs/>
      <w:kern w:val="2"/>
      <w:sz w:val="24"/>
      <w:szCs w:val="24"/>
    </w:rPr>
  </w:style>
  <w:style w:type="character" w:customStyle="1" w:styleId="105">
    <w:name w:val="标题 Char"/>
    <w:link w:val="38"/>
    <w:autoRedefine/>
    <w:qFormat/>
    <w:uiPriority w:val="99"/>
    <w:rPr>
      <w:rFonts w:ascii="Cambria" w:hAnsi="Cambria" w:cs="Cambria"/>
      <w:b/>
      <w:bCs/>
      <w:sz w:val="32"/>
      <w:szCs w:val="32"/>
    </w:rPr>
  </w:style>
  <w:style w:type="character" w:customStyle="1" w:styleId="106">
    <w:name w:val="标题 Char1"/>
    <w:autoRedefine/>
    <w:qFormat/>
    <w:uiPriority w:val="99"/>
    <w:rPr>
      <w:rFonts w:ascii="Cambria" w:hAnsi="Cambria" w:eastAsia="宋体" w:cs="Cambria"/>
      <w:b/>
      <w:bCs/>
      <w:kern w:val="2"/>
      <w:sz w:val="32"/>
      <w:szCs w:val="32"/>
    </w:rPr>
  </w:style>
  <w:style w:type="character" w:customStyle="1" w:styleId="107">
    <w:name w:val="页脚 Char1"/>
    <w:autoRedefine/>
    <w:qFormat/>
    <w:uiPriority w:val="99"/>
    <w:rPr>
      <w:kern w:val="2"/>
      <w:sz w:val="18"/>
      <w:szCs w:val="18"/>
    </w:rPr>
  </w:style>
  <w:style w:type="paragraph" w:customStyle="1" w:styleId="108">
    <w:name w:val="Char1"/>
    <w:basedOn w:val="1"/>
    <w:autoRedefine/>
    <w:qFormat/>
    <w:uiPriority w:val="99"/>
  </w:style>
  <w:style w:type="paragraph" w:customStyle="1" w:styleId="109">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Times New Roman"/>
      <w:b w:val="0"/>
      <w:bCs w:val="0"/>
      <w:sz w:val="28"/>
      <w:szCs w:val="28"/>
    </w:rPr>
  </w:style>
  <w:style w:type="paragraph" w:customStyle="1" w:styleId="110">
    <w:name w:val="样式 首行缩进:  2 字符1"/>
    <w:basedOn w:val="1"/>
    <w:autoRedefine/>
    <w:qFormat/>
    <w:uiPriority w:val="99"/>
    <w:pPr>
      <w:spacing w:line="400" w:lineRule="exact"/>
      <w:ind w:firstLine="200" w:firstLineChars="200"/>
    </w:pPr>
    <w:rPr>
      <w:sz w:val="24"/>
      <w:szCs w:val="24"/>
    </w:rPr>
  </w:style>
  <w:style w:type="paragraph" w:customStyle="1" w:styleId="111">
    <w:name w:val="Char2"/>
    <w:basedOn w:val="1"/>
    <w:autoRedefine/>
    <w:qFormat/>
    <w:uiPriority w:val="99"/>
  </w:style>
  <w:style w:type="paragraph" w:customStyle="1" w:styleId="112">
    <w:name w:val="Char Char Char Char Char Char Char"/>
    <w:basedOn w:val="1"/>
    <w:autoRedefine/>
    <w:qFormat/>
    <w:uiPriority w:val="99"/>
  </w:style>
  <w:style w:type="paragraph" w:customStyle="1" w:styleId="113">
    <w:name w:val="bf.1"/>
    <w:basedOn w:val="12"/>
    <w:autoRedefine/>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4">
    <w:name w:val="第一章"/>
    <w:basedOn w:val="1"/>
    <w:next w:val="1"/>
    <w:autoRedefine/>
    <w:qFormat/>
    <w:uiPriority w:val="99"/>
    <w:pPr>
      <w:tabs>
        <w:tab w:val="left" w:pos="0"/>
      </w:tabs>
      <w:spacing w:line="360" w:lineRule="auto"/>
      <w:ind w:hanging="500" w:hangingChars="500"/>
    </w:pPr>
    <w:rPr>
      <w:rFonts w:eastAsia="黑体"/>
      <w:sz w:val="44"/>
      <w:szCs w:val="44"/>
    </w:rPr>
  </w:style>
  <w:style w:type="paragraph" w:customStyle="1" w:styleId="115">
    <w:name w:val="blockquote"/>
    <w:basedOn w:val="1"/>
    <w:autoRedefine/>
    <w:qFormat/>
    <w:uiPriority w:val="99"/>
    <w:pPr>
      <w:widowControl/>
      <w:spacing w:before="100" w:beforeAutospacing="1" w:after="100" w:afterAutospacing="1"/>
    </w:pPr>
    <w:rPr>
      <w:rFonts w:ascii="宋体" w:hAnsi="宋体" w:cs="宋体"/>
      <w:kern w:val="0"/>
      <w:sz w:val="24"/>
      <w:szCs w:val="24"/>
    </w:rPr>
  </w:style>
  <w:style w:type="paragraph" w:customStyle="1" w:styleId="116">
    <w:name w:val="样式1"/>
    <w:basedOn w:val="2"/>
    <w:autoRedefine/>
    <w:qFormat/>
    <w:uiPriority w:val="99"/>
    <w:pPr>
      <w:spacing w:line="576" w:lineRule="auto"/>
    </w:pPr>
  </w:style>
  <w:style w:type="paragraph" w:customStyle="1" w:styleId="117">
    <w:name w:val="Char Char1 Char"/>
    <w:basedOn w:val="1"/>
    <w:autoRedefine/>
    <w:qFormat/>
    <w:uiPriority w:val="99"/>
  </w:style>
  <w:style w:type="paragraph" w:customStyle="1" w:styleId="118">
    <w:name w:val="Char Char Char Char"/>
    <w:basedOn w:val="1"/>
    <w:autoRedefine/>
    <w:qFormat/>
    <w:uiPriority w:val="99"/>
  </w:style>
  <w:style w:type="paragraph" w:customStyle="1" w:styleId="119">
    <w:name w:val="样式3"/>
    <w:basedOn w:val="2"/>
    <w:autoRedefine/>
    <w:qFormat/>
    <w:uiPriority w:val="99"/>
    <w:pPr>
      <w:spacing w:line="576" w:lineRule="auto"/>
    </w:pPr>
  </w:style>
  <w:style w:type="paragraph" w:customStyle="1" w:styleId="120">
    <w:name w:val="p0"/>
    <w:basedOn w:val="1"/>
    <w:autoRedefine/>
    <w:qFormat/>
    <w:uiPriority w:val="99"/>
    <w:pPr>
      <w:widowControl/>
    </w:pPr>
    <w:rPr>
      <w:kern w:val="0"/>
    </w:rPr>
  </w:style>
  <w:style w:type="paragraph" w:customStyle="1" w:styleId="121">
    <w:name w:val="Char Char Char Char Char Char Char Char Char Char Char Char Char"/>
    <w:basedOn w:val="1"/>
    <w:autoRedefine/>
    <w:qFormat/>
    <w:uiPriority w:val="99"/>
    <w:pPr>
      <w:widowControl/>
      <w:spacing w:after="160" w:line="240" w:lineRule="exact"/>
      <w:jc w:val="left"/>
    </w:pPr>
  </w:style>
  <w:style w:type="paragraph" w:customStyle="1" w:styleId="122">
    <w:name w:val="样式2"/>
    <w:basedOn w:val="1"/>
    <w:autoRedefine/>
    <w:qFormat/>
    <w:uiPriority w:val="99"/>
    <w:pPr>
      <w:ind w:firstLine="420" w:firstLineChars="150"/>
    </w:pPr>
    <w:rPr>
      <w:sz w:val="24"/>
      <w:szCs w:val="24"/>
      <w:lang w:val="en-GB"/>
    </w:rPr>
  </w:style>
  <w:style w:type="paragraph" w:customStyle="1" w:styleId="123">
    <w:name w:val="Blockquote"/>
    <w:basedOn w:val="1"/>
    <w:autoRedefine/>
    <w:qFormat/>
    <w:uiPriority w:val="99"/>
    <w:pPr>
      <w:autoSpaceDE w:val="0"/>
      <w:autoSpaceDN w:val="0"/>
      <w:adjustRightInd w:val="0"/>
      <w:spacing w:before="100" w:after="100"/>
      <w:ind w:left="360"/>
    </w:pPr>
    <w:rPr>
      <w:kern w:val="0"/>
      <w:sz w:val="24"/>
      <w:szCs w:val="24"/>
    </w:rPr>
  </w:style>
  <w:style w:type="paragraph" w:customStyle="1" w:styleId="124">
    <w:name w:val="Char1 Char Char Char"/>
    <w:basedOn w:val="1"/>
    <w:autoRedefine/>
    <w:qFormat/>
    <w:uiPriority w:val="99"/>
  </w:style>
  <w:style w:type="character" w:customStyle="1" w:styleId="125">
    <w:name w:val="正文文本 Char1"/>
    <w:autoRedefine/>
    <w:qFormat/>
    <w:uiPriority w:val="99"/>
    <w:rPr>
      <w:kern w:val="2"/>
      <w:sz w:val="22"/>
      <w:szCs w:val="22"/>
    </w:rPr>
  </w:style>
  <w:style w:type="character" w:customStyle="1" w:styleId="126">
    <w:name w:val="Intense Quote Char_2b2a3896-3195-4671-a05a-2e0ebb027a8c"/>
    <w:autoRedefine/>
    <w:qFormat/>
    <w:uiPriority w:val="99"/>
    <w:rPr>
      <w:b/>
      <w:bCs/>
      <w:i/>
      <w:iCs/>
      <w:color w:val="4F81BD"/>
      <w:kern w:val="2"/>
      <w:sz w:val="22"/>
      <w:szCs w:val="22"/>
    </w:rPr>
  </w:style>
  <w:style w:type="character" w:customStyle="1" w:styleId="127">
    <w:name w:val="Subtle Emphasis1"/>
    <w:autoRedefine/>
    <w:qFormat/>
    <w:uiPriority w:val="99"/>
    <w:rPr>
      <w:i/>
      <w:iCs/>
      <w:color w:val="808080"/>
    </w:rPr>
  </w:style>
  <w:style w:type="character" w:customStyle="1" w:styleId="128">
    <w:name w:val="标题4 Char Char"/>
    <w:link w:val="129"/>
    <w:autoRedefine/>
    <w:qFormat/>
    <w:uiPriority w:val="99"/>
    <w:rPr>
      <w:rFonts w:ascii="Arial" w:hAnsi="Arial" w:cs="Arial"/>
      <w:b/>
      <w:bCs/>
      <w:sz w:val="32"/>
      <w:szCs w:val="32"/>
    </w:rPr>
  </w:style>
  <w:style w:type="paragraph" w:customStyle="1" w:styleId="129">
    <w:name w:val="标题4"/>
    <w:basedOn w:val="3"/>
    <w:next w:val="19"/>
    <w:link w:val="128"/>
    <w:autoRedefine/>
    <w:qFormat/>
    <w:uiPriority w:val="99"/>
    <w:pPr>
      <w:spacing w:line="413" w:lineRule="auto"/>
    </w:pPr>
    <w:rPr>
      <w:rFonts w:eastAsia="宋体"/>
      <w:kern w:val="0"/>
    </w:rPr>
  </w:style>
  <w:style w:type="character" w:customStyle="1" w:styleId="130">
    <w:name w:val="标题5 Char Char"/>
    <w:link w:val="131"/>
    <w:autoRedefine/>
    <w:qFormat/>
    <w:uiPriority w:val="99"/>
    <w:rPr>
      <w:rFonts w:ascii="Arial" w:hAnsi="Arial" w:cs="Arial"/>
      <w:b/>
      <w:bCs/>
      <w:sz w:val="32"/>
      <w:szCs w:val="32"/>
    </w:rPr>
  </w:style>
  <w:style w:type="paragraph" w:customStyle="1" w:styleId="131">
    <w:name w:val="标题5"/>
    <w:basedOn w:val="4"/>
    <w:link w:val="130"/>
    <w:autoRedefine/>
    <w:qFormat/>
    <w:uiPriority w:val="99"/>
    <w:pPr>
      <w:spacing w:line="413" w:lineRule="auto"/>
    </w:pPr>
    <w:rPr>
      <w:rFonts w:ascii="Arial" w:hAnsi="Arial" w:cs="Arial"/>
      <w:kern w:val="0"/>
    </w:rPr>
  </w:style>
  <w:style w:type="character" w:customStyle="1" w:styleId="132">
    <w:name w:val="Intense Reference1"/>
    <w:autoRedefine/>
    <w:qFormat/>
    <w:uiPriority w:val="99"/>
    <w:rPr>
      <w:b/>
      <w:bCs/>
      <w:smallCaps/>
      <w:color w:val="auto"/>
      <w:spacing w:val="5"/>
      <w:u w:val="single"/>
    </w:rPr>
  </w:style>
  <w:style w:type="character" w:customStyle="1" w:styleId="133">
    <w:name w:val="Book Title1"/>
    <w:autoRedefine/>
    <w:qFormat/>
    <w:uiPriority w:val="99"/>
    <w:rPr>
      <w:b/>
      <w:bCs/>
      <w:smallCaps/>
      <w:spacing w:val="5"/>
    </w:rPr>
  </w:style>
  <w:style w:type="character" w:customStyle="1" w:styleId="134">
    <w:name w:val="批注框文本 Char1"/>
    <w:autoRedefine/>
    <w:qFormat/>
    <w:uiPriority w:val="99"/>
    <w:rPr>
      <w:kern w:val="2"/>
      <w:sz w:val="18"/>
      <w:szCs w:val="18"/>
    </w:rPr>
  </w:style>
  <w:style w:type="character" w:customStyle="1" w:styleId="135">
    <w:name w:val="Quote Char_b08aa03b-3c55-4147-93c5-66cbc0710261"/>
    <w:autoRedefine/>
    <w:qFormat/>
    <w:uiPriority w:val="99"/>
    <w:rPr>
      <w:i/>
      <w:iCs/>
      <w:color w:val="000000"/>
      <w:kern w:val="2"/>
      <w:sz w:val="22"/>
      <w:szCs w:val="22"/>
    </w:rPr>
  </w:style>
  <w:style w:type="character" w:customStyle="1" w:styleId="136">
    <w:name w:val="日期 Char1"/>
    <w:autoRedefine/>
    <w:qFormat/>
    <w:uiPriority w:val="99"/>
    <w:rPr>
      <w:kern w:val="2"/>
      <w:sz w:val="22"/>
      <w:szCs w:val="22"/>
    </w:rPr>
  </w:style>
  <w:style w:type="character" w:customStyle="1" w:styleId="137">
    <w:name w:val="Intense Emphasis1"/>
    <w:autoRedefine/>
    <w:qFormat/>
    <w:uiPriority w:val="99"/>
    <w:rPr>
      <w:b/>
      <w:bCs/>
      <w:i/>
      <w:iCs/>
      <w:color w:val="4F81BD"/>
    </w:rPr>
  </w:style>
  <w:style w:type="character" w:customStyle="1" w:styleId="138">
    <w:name w:val="textcontents"/>
    <w:autoRedefine/>
    <w:qFormat/>
    <w:uiPriority w:val="99"/>
  </w:style>
  <w:style w:type="character" w:customStyle="1" w:styleId="139">
    <w:name w:val="Subtle Reference1"/>
    <w:qFormat/>
    <w:uiPriority w:val="99"/>
    <w:rPr>
      <w:smallCaps/>
      <w:color w:val="auto"/>
      <w:u w:val="single"/>
    </w:rPr>
  </w:style>
  <w:style w:type="character" w:customStyle="1" w:styleId="140">
    <w:name w:val="批注文字 Char Char"/>
    <w:autoRedefine/>
    <w:qFormat/>
    <w:uiPriority w:val="99"/>
    <w:rPr>
      <w:rFonts w:ascii="宋体" w:hAnsi="Times New Roman" w:eastAsia="宋体" w:cs="宋体"/>
      <w:sz w:val="20"/>
      <w:szCs w:val="20"/>
    </w:rPr>
  </w:style>
  <w:style w:type="character" w:customStyle="1" w:styleId="141">
    <w:name w:val="文档结构图 Char1"/>
    <w:autoRedefine/>
    <w:qFormat/>
    <w:uiPriority w:val="99"/>
    <w:rPr>
      <w:rFonts w:ascii="宋体" w:cs="宋体"/>
      <w:kern w:val="2"/>
      <w:sz w:val="18"/>
      <w:szCs w:val="18"/>
    </w:rPr>
  </w:style>
  <w:style w:type="paragraph" w:customStyle="1" w:styleId="142">
    <w:name w:val="Revision1"/>
    <w:autoRedefine/>
    <w:qFormat/>
    <w:uiPriority w:val="99"/>
    <w:rPr>
      <w:rFonts w:ascii="Times New Roman" w:hAnsi="Times New Roman" w:eastAsia="宋体" w:cs="Times New Roman"/>
      <w:kern w:val="2"/>
      <w:sz w:val="21"/>
      <w:szCs w:val="21"/>
      <w:lang w:val="en-US" w:eastAsia="zh-CN" w:bidi="ar-SA"/>
    </w:rPr>
  </w:style>
  <w:style w:type="character" w:customStyle="1" w:styleId="143">
    <w:name w:val="批注框文本 Char2"/>
    <w:autoRedefine/>
    <w:qFormat/>
    <w:uiPriority w:val="99"/>
    <w:rPr>
      <w:kern w:val="2"/>
      <w:sz w:val="18"/>
      <w:szCs w:val="18"/>
    </w:rPr>
  </w:style>
  <w:style w:type="character" w:customStyle="1" w:styleId="144">
    <w:name w:val="批注主题 Char2"/>
    <w:autoRedefine/>
    <w:qFormat/>
    <w:uiPriority w:val="99"/>
    <w:rPr>
      <w:b/>
      <w:bCs/>
      <w:kern w:val="2"/>
      <w:sz w:val="22"/>
      <w:szCs w:val="22"/>
    </w:rPr>
  </w:style>
  <w:style w:type="character" w:customStyle="1" w:styleId="145">
    <w:name w:val="文档结构图 Char2"/>
    <w:qFormat/>
    <w:uiPriority w:val="99"/>
    <w:rPr>
      <w:rFonts w:ascii="宋体" w:cs="宋体"/>
      <w:kern w:val="2"/>
      <w:sz w:val="18"/>
      <w:szCs w:val="18"/>
    </w:rPr>
  </w:style>
  <w:style w:type="character" w:customStyle="1" w:styleId="146">
    <w:name w:val="日期 Char2"/>
    <w:autoRedefine/>
    <w:qFormat/>
    <w:uiPriority w:val="99"/>
    <w:rPr>
      <w:kern w:val="2"/>
      <w:sz w:val="22"/>
      <w:szCs w:val="22"/>
    </w:rPr>
  </w:style>
  <w:style w:type="character" w:customStyle="1" w:styleId="147">
    <w:name w:val="正文文本 Char2"/>
    <w:autoRedefine/>
    <w:qFormat/>
    <w:uiPriority w:val="99"/>
    <w:rPr>
      <w:kern w:val="2"/>
      <w:sz w:val="21"/>
      <w:szCs w:val="21"/>
    </w:rPr>
  </w:style>
  <w:style w:type="paragraph" w:customStyle="1" w:styleId="148">
    <w:name w:val="TOC Heading1"/>
    <w:basedOn w:val="2"/>
    <w:next w:val="1"/>
    <w:autoRedefine/>
    <w:qFormat/>
    <w:uiPriority w:val="99"/>
    <w:pPr>
      <w:spacing w:line="576" w:lineRule="auto"/>
      <w:outlineLvl w:val="9"/>
    </w:pPr>
    <w:rPr>
      <w:rFonts w:ascii="Calibri" w:hAnsi="Calibri" w:cs="Calibri"/>
    </w:rPr>
  </w:style>
  <w:style w:type="character" w:customStyle="1" w:styleId="149">
    <w:name w:val="副标题 Char"/>
    <w:link w:val="31"/>
    <w:autoRedefine/>
    <w:qFormat/>
    <w:uiPriority w:val="99"/>
    <w:rPr>
      <w:rFonts w:ascii="Cambria" w:hAnsi="Cambria" w:cs="Cambria"/>
      <w:b/>
      <w:bCs/>
      <w:kern w:val="28"/>
      <w:sz w:val="32"/>
      <w:szCs w:val="32"/>
    </w:rPr>
  </w:style>
  <w:style w:type="character" w:customStyle="1" w:styleId="150">
    <w:name w:val="副标题 Char1"/>
    <w:autoRedefine/>
    <w:qFormat/>
    <w:uiPriority w:val="99"/>
    <w:rPr>
      <w:rFonts w:ascii="Cambria" w:hAnsi="Cambria" w:eastAsia="宋体" w:cs="Cambria"/>
      <w:b/>
      <w:bCs/>
      <w:kern w:val="28"/>
      <w:sz w:val="32"/>
      <w:szCs w:val="32"/>
    </w:rPr>
  </w:style>
  <w:style w:type="paragraph" w:styleId="151">
    <w:name w:val="Intense Quote"/>
    <w:basedOn w:val="1"/>
    <w:next w:val="1"/>
    <w:link w:val="152"/>
    <w:autoRedefine/>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52">
    <w:name w:val="明显引用 Char"/>
    <w:link w:val="151"/>
    <w:autoRedefine/>
    <w:qFormat/>
    <w:uiPriority w:val="99"/>
    <w:rPr>
      <w:rFonts w:ascii="Times New Roman" w:hAnsi="Times New Roman" w:cs="Times New Roman"/>
      <w:b/>
      <w:bCs/>
      <w:i/>
      <w:iCs/>
      <w:color w:val="4F81BD"/>
      <w:sz w:val="21"/>
      <w:szCs w:val="21"/>
    </w:rPr>
  </w:style>
  <w:style w:type="character" w:customStyle="1" w:styleId="153">
    <w:name w:val="明显引用 Char1"/>
    <w:autoRedefine/>
    <w:qFormat/>
    <w:uiPriority w:val="99"/>
    <w:rPr>
      <w:rFonts w:ascii="Times New Roman" w:hAnsi="Times New Roman" w:eastAsia="宋体" w:cs="Times New Roman"/>
      <w:b/>
      <w:bCs/>
      <w:i/>
      <w:iCs/>
      <w:color w:val="4F81BD"/>
      <w:kern w:val="2"/>
      <w:sz w:val="24"/>
      <w:szCs w:val="24"/>
    </w:rPr>
  </w:style>
  <w:style w:type="paragraph" w:customStyle="1" w:styleId="154">
    <w:name w:val="样式 标题 3 + (中文) 黑体 小四 非加粗 段前: 7.8 磅 段后: 0 磅 行距: 固定值 20 磅"/>
    <w:basedOn w:val="4"/>
    <w:autoRedefine/>
    <w:qFormat/>
    <w:uiPriority w:val="99"/>
    <w:pPr>
      <w:spacing w:before="0" w:after="0" w:line="400" w:lineRule="exact"/>
    </w:pPr>
    <w:rPr>
      <w:rFonts w:eastAsia="黑体"/>
      <w:b w:val="0"/>
      <w:bCs w:val="0"/>
      <w:sz w:val="24"/>
      <w:szCs w:val="24"/>
    </w:rPr>
  </w:style>
  <w:style w:type="paragraph" w:customStyle="1" w:styleId="155">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styleId="156">
    <w:name w:val="No Spacing"/>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157">
    <w:name w:val="引用 Char"/>
    <w:link w:val="52"/>
    <w:autoRedefine/>
    <w:qFormat/>
    <w:uiPriority w:val="99"/>
    <w:rPr>
      <w:rFonts w:ascii="Times New Roman" w:hAnsi="Times New Roman" w:cs="Times New Roman"/>
      <w:i/>
      <w:iCs/>
      <w:color w:val="000000"/>
      <w:sz w:val="21"/>
      <w:szCs w:val="21"/>
    </w:rPr>
  </w:style>
  <w:style w:type="character" w:customStyle="1" w:styleId="158">
    <w:name w:val="引用 Char1"/>
    <w:qFormat/>
    <w:uiPriority w:val="99"/>
    <w:rPr>
      <w:rFonts w:ascii="Times New Roman" w:hAnsi="Times New Roman" w:eastAsia="宋体" w:cs="Times New Roman"/>
      <w:i/>
      <w:iCs/>
      <w:color w:val="000000"/>
      <w:kern w:val="2"/>
      <w:sz w:val="24"/>
      <w:szCs w:val="24"/>
    </w:rPr>
  </w:style>
  <w:style w:type="paragraph" w:customStyle="1" w:styleId="159">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60">
    <w:name w:val="CD正文"/>
    <w:basedOn w:val="1"/>
    <w:autoRedefine/>
    <w:qFormat/>
    <w:uiPriority w:val="99"/>
    <w:pPr>
      <w:spacing w:line="360" w:lineRule="auto"/>
      <w:ind w:firstLine="493"/>
    </w:pPr>
    <w:rPr>
      <w:sz w:val="30"/>
      <w:szCs w:val="30"/>
    </w:rPr>
  </w:style>
  <w:style w:type="paragraph" w:customStyle="1" w:styleId="161">
    <w:name w:val="1公招正文"/>
    <w:basedOn w:val="1"/>
    <w:autoRedefine/>
    <w:qFormat/>
    <w:uiPriority w:val="0"/>
    <w:pPr>
      <w:spacing w:line="360" w:lineRule="auto"/>
      <w:ind w:firstLine="1044" w:firstLineChars="200"/>
      <w:jc w:val="left"/>
    </w:pPr>
    <w:rPr>
      <w:rFonts w:ascii="宋体" w:hAnsi="宋体"/>
      <w:sz w:val="24"/>
    </w:rPr>
  </w:style>
  <w:style w:type="paragraph" w:customStyle="1" w:styleId="162">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3">
    <w:name w:val="Default"/>
    <w:autoRedefine/>
    <w:qFormat/>
    <w:uiPriority w:val="0"/>
    <w:pPr>
      <w:widowControl w:val="0"/>
    </w:pPr>
    <w:rPr>
      <w:rFonts w:ascii="......." w:hAnsi="......." w:eastAsia="宋体" w:cs="宋体"/>
      <w:color w:val="000000"/>
      <w:sz w:val="24"/>
      <w:szCs w:val="24"/>
      <w:lang w:val="en-US" w:eastAsia="zh-CN" w:bidi="ar-SA"/>
    </w:rPr>
  </w:style>
  <w:style w:type="paragraph" w:customStyle="1" w:styleId="164">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5">
    <w:name w:val="列出段落1"/>
    <w:basedOn w:val="1"/>
    <w:autoRedefine/>
    <w:qFormat/>
    <w:uiPriority w:val="0"/>
    <w:pPr>
      <w:ind w:firstLine="420" w:firstLineChars="200"/>
    </w:pPr>
  </w:style>
  <w:style w:type="paragraph" w:customStyle="1" w:styleId="16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7">
    <w:name w:val="正文文本 Char"/>
    <w:basedOn w:val="44"/>
    <w:link w:val="17"/>
    <w:autoRedefine/>
    <w:qFormat/>
    <w:uiPriority w:val="0"/>
    <w:rPr>
      <w:rFonts w:hint="eastAsia" w:ascii="宋体" w:hAnsi="宋体" w:eastAsia="宋体" w:cs="宋体"/>
      <w:sz w:val="34"/>
    </w:rPr>
  </w:style>
  <w:style w:type="character" w:customStyle="1" w:styleId="168">
    <w:name w:val="正文首行缩进 Char"/>
    <w:link w:val="40"/>
    <w:qFormat/>
    <w:uiPriority w:val="0"/>
    <w:rPr>
      <w:kern w:val="2"/>
      <w:sz w:val="21"/>
      <w:szCs w:val="24"/>
    </w:rPr>
  </w:style>
  <w:style w:type="character" w:customStyle="1" w:styleId="169">
    <w:name w:val="正文缩进 Char"/>
    <w:basedOn w:val="44"/>
    <w:link w:val="12"/>
    <w:autoRedefine/>
    <w:qFormat/>
    <w:uiPriority w:val="0"/>
    <w:rPr>
      <w:kern w:val="2"/>
      <w:sz w:val="21"/>
      <w:szCs w:val="24"/>
    </w:rPr>
  </w:style>
  <w:style w:type="character" w:customStyle="1" w:styleId="170">
    <w:name w:val="正文文本缩进 Char"/>
    <w:basedOn w:val="44"/>
    <w:link w:val="18"/>
    <w:autoRedefine/>
    <w:qFormat/>
    <w:uiPriority w:val="0"/>
    <w:rPr>
      <w:kern w:val="2"/>
      <w:sz w:val="32"/>
    </w:rPr>
  </w:style>
  <w:style w:type="character" w:customStyle="1" w:styleId="171">
    <w:name w:val="标题 2 Char"/>
    <w:basedOn w:val="44"/>
    <w:link w:val="3"/>
    <w:autoRedefine/>
    <w:qFormat/>
    <w:uiPriority w:val="0"/>
    <w:rPr>
      <w:rFonts w:hint="default" w:ascii="Arial" w:hAnsi="Arial" w:eastAsia="黑体" w:cs="Arial"/>
      <w:b/>
      <w:bCs/>
      <w:kern w:val="2"/>
      <w:sz w:val="32"/>
      <w:szCs w:val="32"/>
    </w:rPr>
  </w:style>
  <w:style w:type="paragraph" w:customStyle="1" w:styleId="172">
    <w:name w:val="null3"/>
    <w:autoRedefine/>
    <w:hidden/>
    <w:qFormat/>
    <w:uiPriority w:val="0"/>
    <w:rPr>
      <w:rFonts w:hint="eastAsia" w:asciiTheme="minorHAnsi" w:hAnsiTheme="minorHAnsi" w:eastAsiaTheme="minorEastAsia" w:cstheme="minorBidi"/>
      <w:lang w:val="en-US" w:eastAsia="zh-Hans"/>
    </w:rPr>
  </w:style>
  <w:style w:type="paragraph" w:customStyle="1" w:styleId="173">
    <w:name w:val="Body text|1"/>
    <w:basedOn w:val="1"/>
    <w:autoRedefine/>
    <w:unhideWhenUsed/>
    <w:qFormat/>
    <w:uiPriority w:val="0"/>
    <w:pPr>
      <w:spacing w:beforeLines="0" w:afterLines="0" w:line="403" w:lineRule="auto"/>
      <w:ind w:firstLine="400"/>
    </w:pPr>
    <w:rPr>
      <w:rFonts w:hint="eastAsia"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393AA-BE63-4605-92AE-53BE3638DF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13883</Words>
  <Characters>14469</Characters>
  <Lines>228</Lines>
  <Paragraphs>64</Paragraphs>
  <TotalTime>1</TotalTime>
  <ScaleCrop>false</ScaleCrop>
  <LinksUpToDate>false</LinksUpToDate>
  <CharactersWithSpaces>14616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li</cp:lastModifiedBy>
  <cp:lastPrinted>2022-09-21T01:25:00Z</cp:lastPrinted>
  <dcterms:modified xsi:type="dcterms:W3CDTF">2025-01-20T08:25:38Z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9D4E797BC4794499A217BE5689D9ABAB_13</vt:lpwstr>
  </property>
  <property fmtid="{D5CDD505-2E9C-101B-9397-08002B2CF9AE}" pid="4" name="KSOTemplateDocerSaveRecord">
    <vt:lpwstr>eyJoZGlkIjoiYmY3NWFkYzgwMmJiMjM5MTY3Yzk1MjVhYzI4ZmUzYjYiLCJ1c2VySWQiOiI0MDQ2Njg1MzQifQ==</vt:lpwstr>
  </property>
</Properties>
</file>